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AD" w:rsidRPr="002B42DE" w:rsidRDefault="00D32C0D" w:rsidP="00E97AF5">
      <w:pPr>
        <w:spacing w:after="0" w:line="360" w:lineRule="auto"/>
        <w:jc w:val="center"/>
        <w:rPr>
          <w:rFonts w:ascii="Times New Roman" w:hAnsi="Times New Roman"/>
          <w:b/>
          <w:sz w:val="32"/>
          <w:szCs w:val="32"/>
          <w:u w:val="single"/>
          <w:lang w:val="en-US"/>
        </w:rPr>
      </w:pPr>
      <w:r w:rsidRPr="002B42DE">
        <w:rPr>
          <w:rFonts w:ascii="Times New Roman" w:hAnsi="Times New Roman"/>
          <w:b/>
          <w:sz w:val="32"/>
          <w:szCs w:val="32"/>
          <w:u w:val="single"/>
          <w:lang w:val="en-US"/>
        </w:rPr>
        <w:t>Technology in Society: an International Journal</w:t>
      </w:r>
    </w:p>
    <w:p w:rsidR="005602AD" w:rsidRPr="002B42DE" w:rsidRDefault="005602AD" w:rsidP="00E97AF5">
      <w:pPr>
        <w:spacing w:after="0" w:line="360" w:lineRule="auto"/>
        <w:jc w:val="center"/>
        <w:rPr>
          <w:rFonts w:ascii="Times New Roman" w:hAnsi="Times New Roman"/>
          <w:b/>
          <w:sz w:val="28"/>
          <w:szCs w:val="28"/>
          <w:u w:val="single"/>
          <w:lang w:val="en-US"/>
        </w:rPr>
      </w:pPr>
    </w:p>
    <w:p w:rsidR="005602AD" w:rsidRPr="002B42DE" w:rsidRDefault="00D32C0D" w:rsidP="00E97AF5">
      <w:pPr>
        <w:spacing w:after="0" w:line="360" w:lineRule="auto"/>
        <w:jc w:val="center"/>
        <w:rPr>
          <w:rFonts w:ascii="Times New Roman" w:hAnsi="Times New Roman"/>
          <w:b/>
          <w:sz w:val="28"/>
          <w:szCs w:val="28"/>
          <w:u w:val="single"/>
          <w:lang w:val="en-US"/>
        </w:rPr>
      </w:pPr>
      <w:r w:rsidRPr="002B42DE">
        <w:rPr>
          <w:rFonts w:ascii="Times New Roman" w:hAnsi="Times New Roman"/>
          <w:b/>
          <w:sz w:val="28"/>
          <w:szCs w:val="28"/>
          <w:u w:val="single"/>
          <w:lang w:val="en-US"/>
        </w:rPr>
        <w:t>Special issue on: “Biotechnology, Controversy, and Policy: Challenges of the Bioeconomy in Latin America”</w:t>
      </w:r>
    </w:p>
    <w:p w:rsidR="005602AD" w:rsidRPr="002B42DE" w:rsidRDefault="005602AD" w:rsidP="00E97AF5">
      <w:pPr>
        <w:spacing w:after="0" w:line="360" w:lineRule="auto"/>
        <w:jc w:val="center"/>
        <w:rPr>
          <w:rFonts w:ascii="Times New Roman" w:hAnsi="Times New Roman"/>
          <w:lang w:val="en-US"/>
        </w:rPr>
      </w:pPr>
    </w:p>
    <w:p w:rsidR="005602AD" w:rsidRPr="002B42DE" w:rsidRDefault="00596967" w:rsidP="00E97AF5">
      <w:pPr>
        <w:spacing w:after="0" w:line="360" w:lineRule="auto"/>
        <w:jc w:val="both"/>
        <w:rPr>
          <w:rFonts w:ascii="Times New Roman" w:hAnsi="Times New Roman"/>
          <w:u w:val="single"/>
          <w:lang w:val="en-US"/>
        </w:rPr>
      </w:pPr>
      <w:r>
        <w:rPr>
          <w:rFonts w:ascii="Times New Roman" w:hAnsi="Times New Roman"/>
          <w:sz w:val="28"/>
          <w:szCs w:val="28"/>
          <w:u w:val="single"/>
          <w:lang w:val="en-US"/>
        </w:rPr>
        <w:t>Guest editors</w:t>
      </w:r>
      <w:r w:rsidR="00D32C0D" w:rsidRPr="002B42DE">
        <w:rPr>
          <w:rFonts w:ascii="Times New Roman" w:hAnsi="Times New Roman"/>
          <w:sz w:val="28"/>
          <w:szCs w:val="28"/>
          <w:lang w:val="en-US"/>
        </w:rPr>
        <w:t>:</w:t>
      </w:r>
      <w:r w:rsidR="00D32C0D" w:rsidRPr="002B42DE">
        <w:rPr>
          <w:rFonts w:ascii="Times New Roman" w:hAnsi="Times New Roman"/>
          <w:lang w:val="en-US"/>
        </w:rPr>
        <w:t xml:space="preserve"> Pierre Delvenne (FNRS / Université de Liège, Belgium) and Kim Hendrickx (Université de Liège, Belgium). </w:t>
      </w:r>
    </w:p>
    <w:p w:rsidR="005602AD" w:rsidRPr="002B42DE" w:rsidRDefault="005602AD" w:rsidP="00E97AF5">
      <w:pPr>
        <w:spacing w:after="0" w:line="360" w:lineRule="auto"/>
        <w:jc w:val="both"/>
        <w:rPr>
          <w:rFonts w:ascii="Times New Roman" w:hAnsi="Times New Roman"/>
          <w:sz w:val="28"/>
          <w:szCs w:val="28"/>
          <w:u w:val="single"/>
          <w:lang w:val="en-US"/>
        </w:rPr>
      </w:pPr>
    </w:p>
    <w:p w:rsidR="00011AA6" w:rsidRDefault="00596967" w:rsidP="00011AA6">
      <w:pPr>
        <w:spacing w:after="0" w:line="360" w:lineRule="auto"/>
        <w:jc w:val="both"/>
        <w:rPr>
          <w:rFonts w:ascii="Times New Roman" w:hAnsi="Times New Roman"/>
          <w:b/>
          <w:sz w:val="28"/>
          <w:szCs w:val="28"/>
          <w:lang w:val="en-US"/>
        </w:rPr>
      </w:pPr>
      <w:r>
        <w:rPr>
          <w:rFonts w:ascii="Times New Roman" w:hAnsi="Times New Roman"/>
          <w:b/>
          <w:sz w:val="28"/>
          <w:szCs w:val="28"/>
          <w:lang w:val="en-US"/>
        </w:rPr>
        <w:t>T</w:t>
      </w:r>
      <w:r w:rsidRPr="00596967">
        <w:rPr>
          <w:rFonts w:ascii="Times New Roman" w:hAnsi="Times New Roman"/>
          <w:b/>
          <w:sz w:val="28"/>
          <w:szCs w:val="28"/>
          <w:lang w:val="en-US"/>
        </w:rPr>
        <w:t>he multifaceted struggle for power in</w:t>
      </w:r>
      <w:r>
        <w:rPr>
          <w:rFonts w:ascii="Times New Roman" w:hAnsi="Times New Roman"/>
          <w:b/>
          <w:sz w:val="28"/>
          <w:szCs w:val="28"/>
          <w:lang w:val="en-US"/>
        </w:rPr>
        <w:t xml:space="preserve"> </w:t>
      </w:r>
      <w:r w:rsidR="002B1E83">
        <w:rPr>
          <w:rFonts w:ascii="Times New Roman" w:hAnsi="Times New Roman"/>
          <w:b/>
          <w:sz w:val="28"/>
          <w:szCs w:val="28"/>
          <w:lang w:val="en-US"/>
        </w:rPr>
        <w:t xml:space="preserve">the </w:t>
      </w:r>
      <w:r w:rsidRPr="00596967">
        <w:rPr>
          <w:rFonts w:ascii="Times New Roman" w:hAnsi="Times New Roman"/>
          <w:b/>
          <w:sz w:val="28"/>
          <w:szCs w:val="28"/>
          <w:lang w:val="en-US"/>
        </w:rPr>
        <w:t>bioeconomy: i</w:t>
      </w:r>
      <w:r w:rsidR="00D32C0D" w:rsidRPr="00596967">
        <w:rPr>
          <w:rFonts w:ascii="Times New Roman" w:hAnsi="Times New Roman"/>
          <w:b/>
          <w:sz w:val="28"/>
          <w:szCs w:val="28"/>
          <w:lang w:val="en-US"/>
        </w:rPr>
        <w:t>ntroduction</w:t>
      </w:r>
      <w:r w:rsidRPr="00596967">
        <w:rPr>
          <w:rFonts w:ascii="Times New Roman" w:hAnsi="Times New Roman"/>
          <w:b/>
          <w:sz w:val="28"/>
          <w:szCs w:val="28"/>
          <w:lang w:val="en-US"/>
        </w:rPr>
        <w:t xml:space="preserve"> to the special issue</w:t>
      </w:r>
    </w:p>
    <w:p w:rsidR="00011AA6" w:rsidRDefault="00011AA6" w:rsidP="00011AA6">
      <w:pPr>
        <w:spacing w:after="0" w:line="360" w:lineRule="auto"/>
        <w:jc w:val="both"/>
        <w:rPr>
          <w:rFonts w:ascii="Times New Roman" w:hAnsi="Times New Roman"/>
          <w:b/>
          <w:lang w:val="en-US"/>
        </w:rPr>
      </w:pPr>
    </w:p>
    <w:p w:rsidR="00011AA6" w:rsidRPr="00011AA6" w:rsidRDefault="00011AA6" w:rsidP="00011AA6">
      <w:pPr>
        <w:spacing w:after="0" w:line="360" w:lineRule="auto"/>
        <w:jc w:val="both"/>
        <w:rPr>
          <w:rFonts w:ascii="Times New Roman" w:hAnsi="Times New Roman"/>
          <w:b/>
          <w:lang w:val="en-US"/>
        </w:rPr>
      </w:pPr>
      <w:r>
        <w:rPr>
          <w:rFonts w:ascii="Times New Roman" w:hAnsi="Times New Roman"/>
          <w:b/>
          <w:lang w:val="en-US"/>
        </w:rPr>
        <w:t xml:space="preserve">By </w:t>
      </w:r>
      <w:r w:rsidRPr="00011AA6">
        <w:rPr>
          <w:rFonts w:ascii="Times New Roman" w:hAnsi="Times New Roman"/>
          <w:b/>
          <w:lang w:val="en-US"/>
        </w:rPr>
        <w:t>Pierre Delvenne and Kim Hendrickx</w:t>
      </w:r>
    </w:p>
    <w:p w:rsidR="005602AD" w:rsidRPr="002B42DE" w:rsidRDefault="005602AD" w:rsidP="00011AA6">
      <w:pPr>
        <w:spacing w:after="0" w:line="360" w:lineRule="auto"/>
        <w:jc w:val="both"/>
        <w:rPr>
          <w:rFonts w:ascii="Times New Roman" w:hAnsi="Times New Roman"/>
          <w:lang w:val="en-US"/>
        </w:rPr>
      </w:pPr>
    </w:p>
    <w:p w:rsidR="005602AD" w:rsidRPr="002B42DE" w:rsidRDefault="00D32C0D" w:rsidP="00011AA6">
      <w:pPr>
        <w:spacing w:after="0" w:line="360" w:lineRule="auto"/>
        <w:jc w:val="both"/>
        <w:rPr>
          <w:rFonts w:ascii="Times New Roman" w:hAnsi="Times New Roman"/>
          <w:lang w:val="en-US"/>
        </w:rPr>
      </w:pPr>
      <w:r w:rsidRPr="002B42DE">
        <w:rPr>
          <w:rFonts w:ascii="Times New Roman" w:hAnsi="Times New Roman"/>
          <w:lang w:val="en-US"/>
        </w:rPr>
        <w:t xml:space="preserve">Within and beyond the “charmed circle” of </w:t>
      </w:r>
      <w:r>
        <w:rPr>
          <w:rFonts w:ascii="Times New Roman" w:hAnsi="Times New Roman"/>
          <w:lang w:val="en-US"/>
        </w:rPr>
        <w:t>the Organization for Economic Cooperation and Development (</w:t>
      </w:r>
      <w:r w:rsidRPr="002B42DE">
        <w:rPr>
          <w:rFonts w:ascii="Times New Roman" w:hAnsi="Times New Roman"/>
          <w:lang w:val="en-US"/>
        </w:rPr>
        <w:t>OECD</w:t>
      </w:r>
      <w:r>
        <w:rPr>
          <w:rFonts w:ascii="Times New Roman" w:hAnsi="Times New Roman"/>
          <w:lang w:val="en-US"/>
        </w:rPr>
        <w:t>)</w:t>
      </w:r>
      <w:r w:rsidRPr="002B42DE">
        <w:rPr>
          <w:rFonts w:ascii="Times New Roman" w:hAnsi="Times New Roman"/>
          <w:lang w:val="en-US"/>
        </w:rPr>
        <w:t xml:space="preserve"> countries</w:t>
      </w:r>
      <w:r w:rsidR="001E2D4C">
        <w:rPr>
          <w:rFonts w:ascii="Times New Roman" w:hAnsi="Times New Roman"/>
          <w:lang w:val="en-US"/>
        </w:rPr>
        <w:t xml:space="preserve"> [1]</w:t>
      </w:r>
      <w:r w:rsidRPr="002B42DE">
        <w:rPr>
          <w:rFonts w:ascii="Times New Roman" w:hAnsi="Times New Roman"/>
          <w:lang w:val="en-US"/>
        </w:rPr>
        <w:t xml:space="preserve">, there are continuous attempts to </w:t>
      </w:r>
      <w:r w:rsidR="00C778E8">
        <w:rPr>
          <w:rFonts w:ascii="Times New Roman" w:hAnsi="Times New Roman"/>
          <w:lang w:val="en-US"/>
        </w:rPr>
        <w:t>meet</w:t>
      </w:r>
      <w:r w:rsidRPr="002B42DE">
        <w:rPr>
          <w:rFonts w:ascii="Times New Roman" w:hAnsi="Times New Roman"/>
          <w:lang w:val="en-US"/>
        </w:rPr>
        <w:t xml:space="preserve"> a range of environmental, economic and social challenges </w:t>
      </w:r>
      <w:r w:rsidR="00C778E8">
        <w:rPr>
          <w:rFonts w:ascii="Times New Roman" w:hAnsi="Times New Roman"/>
          <w:lang w:val="en-US"/>
        </w:rPr>
        <w:t>of the 21</w:t>
      </w:r>
      <w:r w:rsidR="00C778E8" w:rsidRPr="0008676D">
        <w:rPr>
          <w:rFonts w:ascii="Times New Roman" w:hAnsi="Times New Roman"/>
          <w:vertAlign w:val="superscript"/>
          <w:lang w:val="en-US"/>
        </w:rPr>
        <w:t>st</w:t>
      </w:r>
      <w:r w:rsidR="00C778E8">
        <w:rPr>
          <w:rFonts w:ascii="Times New Roman" w:hAnsi="Times New Roman"/>
          <w:lang w:val="en-US"/>
        </w:rPr>
        <w:t xml:space="preserve"> century</w:t>
      </w:r>
      <w:r w:rsidRPr="002B42DE">
        <w:rPr>
          <w:rFonts w:ascii="Times New Roman" w:hAnsi="Times New Roman"/>
          <w:lang w:val="en-US"/>
        </w:rPr>
        <w:t xml:space="preserve">. Promises and expectations with regards to technological solutions to these problems play a major role in shaping political-economic policies, institutional practices and wider societal </w:t>
      </w:r>
      <w:r w:rsidR="00C778E8" w:rsidRPr="002B42DE">
        <w:rPr>
          <w:rFonts w:ascii="Times New Roman" w:hAnsi="Times New Roman"/>
          <w:lang w:val="en-US"/>
        </w:rPr>
        <w:t>transformations</w:t>
      </w:r>
      <w:r w:rsidRPr="002B42DE">
        <w:rPr>
          <w:rFonts w:ascii="Times New Roman" w:hAnsi="Times New Roman"/>
          <w:lang w:val="en-US"/>
        </w:rPr>
        <w:t>. Changes are promoted through competing master narratives</w:t>
      </w:r>
      <w:r w:rsidR="001E2D4C">
        <w:rPr>
          <w:rFonts w:ascii="Times New Roman" w:hAnsi="Times New Roman"/>
          <w:lang w:val="en-US"/>
        </w:rPr>
        <w:t xml:space="preserve"> [2, 3]</w:t>
      </w:r>
      <w:r w:rsidRPr="002B42DE">
        <w:rPr>
          <w:rFonts w:ascii="Times New Roman" w:hAnsi="Times New Roman"/>
          <w:lang w:val="en-US"/>
        </w:rPr>
        <w:t>, such as the “knowledge-based economy”, conflating technological advance with societal progress. In this respect, one clear example (central to this special issue) is biotechnology, and its enlarged international regime of intellectual property rights</w:t>
      </w:r>
      <w:r w:rsidR="001E2D4C">
        <w:rPr>
          <w:rFonts w:ascii="Times New Roman" w:hAnsi="Times New Roman"/>
          <w:lang w:val="en-US"/>
        </w:rPr>
        <w:t xml:space="preserve"> [4]</w:t>
      </w:r>
      <w:r w:rsidRPr="002B42DE">
        <w:rPr>
          <w:rFonts w:ascii="Times New Roman" w:hAnsi="Times New Roman"/>
          <w:lang w:val="en-US"/>
        </w:rPr>
        <w:t>. In this case, various programmatic policy documents play a role in framing challenges to world economies and societies</w:t>
      </w:r>
      <w:r w:rsidR="00C778E8">
        <w:rPr>
          <w:rFonts w:ascii="Times New Roman" w:hAnsi="Times New Roman"/>
          <w:lang w:val="en-US"/>
        </w:rPr>
        <w:t xml:space="preserve"> with regards to</w:t>
      </w:r>
      <w:r w:rsidR="00B63B63">
        <w:rPr>
          <w:rFonts w:ascii="Times New Roman" w:hAnsi="Times New Roman"/>
          <w:lang w:val="en-US"/>
        </w:rPr>
        <w:t xml:space="preserve"> </w:t>
      </w:r>
      <w:r w:rsidRPr="002B42DE">
        <w:rPr>
          <w:rFonts w:ascii="Times New Roman" w:hAnsi="Times New Roman"/>
          <w:lang w:val="en-US"/>
        </w:rPr>
        <w:t xml:space="preserve">food safety, </w:t>
      </w:r>
      <w:r w:rsidR="00C778E8">
        <w:rPr>
          <w:rFonts w:ascii="Times New Roman" w:hAnsi="Times New Roman"/>
          <w:lang w:val="en-US"/>
        </w:rPr>
        <w:t xml:space="preserve">healthcare, and </w:t>
      </w:r>
      <w:r w:rsidRPr="002B42DE">
        <w:rPr>
          <w:rFonts w:ascii="Times New Roman" w:hAnsi="Times New Roman"/>
          <w:lang w:val="en-US"/>
        </w:rPr>
        <w:t>water and energy supply</w:t>
      </w:r>
      <w:r w:rsidR="00C778E8">
        <w:rPr>
          <w:rFonts w:ascii="Times New Roman" w:hAnsi="Times New Roman"/>
          <w:lang w:val="en-US"/>
        </w:rPr>
        <w:t>.</w:t>
      </w:r>
      <w:r w:rsidRPr="002B42DE">
        <w:rPr>
          <w:rFonts w:ascii="Times New Roman" w:hAnsi="Times New Roman"/>
          <w:lang w:val="en-US"/>
        </w:rPr>
        <w:t xml:space="preserve"> Such policy documents are </w:t>
      </w:r>
      <w:r w:rsidR="00C778E8">
        <w:rPr>
          <w:rFonts w:ascii="Times New Roman" w:hAnsi="Times New Roman"/>
          <w:lang w:val="en-US"/>
        </w:rPr>
        <w:t>often</w:t>
      </w:r>
      <w:r w:rsidR="00B63B63">
        <w:rPr>
          <w:rFonts w:ascii="Times New Roman" w:hAnsi="Times New Roman"/>
          <w:lang w:val="en-US"/>
        </w:rPr>
        <w:t xml:space="preserve"> </w:t>
      </w:r>
      <w:r w:rsidRPr="002B42DE">
        <w:rPr>
          <w:rFonts w:ascii="Times New Roman" w:hAnsi="Times New Roman"/>
          <w:lang w:val="en-US"/>
        </w:rPr>
        <w:t>produced by the European Commission, discussing a “knowledge-based bioeconomy”</w:t>
      </w:r>
      <w:r w:rsidR="001E2D4C">
        <w:rPr>
          <w:rFonts w:ascii="Times New Roman" w:hAnsi="Times New Roman"/>
          <w:lang w:val="en-US"/>
        </w:rPr>
        <w:t xml:space="preserve"> [5]</w:t>
      </w:r>
      <w:r w:rsidRPr="002B42DE">
        <w:rPr>
          <w:rFonts w:ascii="Times New Roman" w:hAnsi="Times New Roman"/>
          <w:lang w:val="en-US"/>
        </w:rPr>
        <w:t xml:space="preserve"> or the OECD, designing a “policy agenda for bioeconomy”</w:t>
      </w:r>
      <w:r w:rsidR="001E2D4C">
        <w:rPr>
          <w:rFonts w:ascii="Times New Roman" w:hAnsi="Times New Roman"/>
          <w:lang w:val="en-US"/>
        </w:rPr>
        <w:t xml:space="preserve"> [6]</w:t>
      </w:r>
      <w:r w:rsidRPr="002B42DE">
        <w:rPr>
          <w:rFonts w:ascii="Times New Roman" w:hAnsi="Times New Roman"/>
          <w:lang w:val="en-US"/>
        </w:rPr>
        <w:t>. Relying on the potential economic and environmental benefits of biotechnology, these policy documents create a strategic interest in commercial outcomes, which leads to the development of a global “bioeconomy”, where a substantial sh</w:t>
      </w:r>
      <w:r>
        <w:rPr>
          <w:rFonts w:ascii="Times New Roman" w:hAnsi="Times New Roman"/>
          <w:lang w:val="en-US"/>
        </w:rPr>
        <w:t>are of economic output is</w:t>
      </w:r>
      <w:r w:rsidRPr="002B42DE">
        <w:rPr>
          <w:rFonts w:ascii="Times New Roman" w:hAnsi="Times New Roman"/>
          <w:lang w:val="en-US"/>
        </w:rPr>
        <w:t xml:space="preserve"> dependent on the development and use of biological materials</w:t>
      </w:r>
      <w:r w:rsidR="001E2D4C">
        <w:rPr>
          <w:rFonts w:ascii="Times New Roman" w:hAnsi="Times New Roman"/>
          <w:lang w:val="en-US"/>
        </w:rPr>
        <w:t xml:space="preserve"> [6]</w:t>
      </w:r>
      <w:r w:rsidRPr="002B42DE">
        <w:rPr>
          <w:rFonts w:ascii="Times New Roman" w:hAnsi="Times New Roman"/>
          <w:lang w:val="en-US"/>
        </w:rPr>
        <w:t xml:space="preserve">. </w:t>
      </w:r>
    </w:p>
    <w:p w:rsidR="005602AD" w:rsidRPr="002B42DE" w:rsidRDefault="005602AD" w:rsidP="00E97AF5">
      <w:pPr>
        <w:spacing w:after="0" w:line="360" w:lineRule="auto"/>
        <w:jc w:val="both"/>
        <w:rPr>
          <w:rFonts w:ascii="Times New Roman" w:hAnsi="Times New Roman"/>
          <w:color w:val="000000"/>
          <w:lang w:val="en-US"/>
        </w:rPr>
      </w:pPr>
    </w:p>
    <w:p w:rsidR="005602AD" w:rsidRPr="002B42DE" w:rsidRDefault="00D32C0D" w:rsidP="00E97AF5">
      <w:pPr>
        <w:spacing w:after="0" w:line="360" w:lineRule="auto"/>
        <w:jc w:val="both"/>
        <w:rPr>
          <w:rFonts w:ascii="Times New Roman" w:hAnsi="Times New Roman"/>
          <w:lang w:val="en-US"/>
        </w:rPr>
      </w:pPr>
      <w:r w:rsidRPr="002B42DE">
        <w:rPr>
          <w:rFonts w:ascii="Times New Roman" w:hAnsi="Times New Roman"/>
          <w:color w:val="000000"/>
          <w:lang w:val="en-US"/>
        </w:rPr>
        <w:t xml:space="preserve">Exploring </w:t>
      </w:r>
      <w:r w:rsidR="00C778E8">
        <w:rPr>
          <w:rFonts w:ascii="Times New Roman" w:hAnsi="Times New Roman"/>
          <w:color w:val="000000"/>
          <w:lang w:val="en-US"/>
        </w:rPr>
        <w:t xml:space="preserve">the </w:t>
      </w:r>
      <w:r w:rsidRPr="002B42DE">
        <w:rPr>
          <w:rFonts w:ascii="Times New Roman" w:hAnsi="Times New Roman"/>
          <w:color w:val="000000"/>
          <w:lang w:val="en-US"/>
        </w:rPr>
        <w:t xml:space="preserve">bioeconomy is one objective of this special issue. It requires </w:t>
      </w:r>
      <w:r w:rsidR="00C778E8">
        <w:rPr>
          <w:rFonts w:ascii="Times New Roman" w:hAnsi="Times New Roman"/>
          <w:color w:val="000000"/>
          <w:lang w:val="en-US"/>
        </w:rPr>
        <w:t>looking</w:t>
      </w:r>
      <w:r w:rsidRPr="002B42DE">
        <w:rPr>
          <w:rFonts w:ascii="Times New Roman" w:hAnsi="Times New Roman"/>
          <w:color w:val="000000"/>
          <w:lang w:val="en-US"/>
        </w:rPr>
        <w:t xml:space="preserve"> both at </w:t>
      </w:r>
      <w:r w:rsidR="00C778E8">
        <w:rPr>
          <w:rFonts w:ascii="Times New Roman" w:hAnsi="Times New Roman"/>
          <w:color w:val="000000"/>
          <w:lang w:val="en-US"/>
        </w:rPr>
        <w:t>opportunities</w:t>
      </w:r>
      <w:r w:rsidRPr="002B42DE">
        <w:rPr>
          <w:rFonts w:ascii="Times New Roman" w:hAnsi="Times New Roman"/>
          <w:color w:val="000000"/>
          <w:lang w:val="en-US"/>
        </w:rPr>
        <w:t>, such as the achievement of a sustainable and inclusive growth, and a wide range of challenges</w:t>
      </w:r>
      <w:r w:rsidR="00C778E8">
        <w:rPr>
          <w:rFonts w:ascii="Times New Roman" w:hAnsi="Times New Roman"/>
          <w:color w:val="000000"/>
          <w:lang w:val="en-US"/>
        </w:rPr>
        <w:t xml:space="preserve"> such as</w:t>
      </w:r>
      <w:r w:rsidRPr="002B42DE">
        <w:rPr>
          <w:rFonts w:ascii="Times New Roman" w:hAnsi="Times New Roman"/>
          <w:color w:val="000000"/>
          <w:lang w:val="en-US"/>
        </w:rPr>
        <w:t xml:space="preserve"> building broad societal support to avoid “locking-in inferior technological solutions” </w:t>
      </w:r>
      <w:r w:rsidR="001E2D4C">
        <w:rPr>
          <w:rFonts w:ascii="Times New Roman" w:hAnsi="Times New Roman"/>
          <w:color w:val="000000"/>
          <w:lang w:val="en-US"/>
        </w:rPr>
        <w:t>[6], p. 6]</w:t>
      </w:r>
      <w:r w:rsidRPr="002B42DE">
        <w:rPr>
          <w:rFonts w:ascii="Times New Roman" w:hAnsi="Times New Roman"/>
          <w:color w:val="000000"/>
          <w:lang w:val="en-US"/>
        </w:rPr>
        <w:t xml:space="preserve">. However, most studies tend to limit themselves to on-going developments in OECD countries. </w:t>
      </w:r>
      <w:r w:rsidR="00C778E8">
        <w:rPr>
          <w:rFonts w:ascii="Times New Roman" w:hAnsi="Times New Roman"/>
          <w:color w:val="000000"/>
          <w:lang w:val="en-US"/>
        </w:rPr>
        <w:t>T</w:t>
      </w:r>
      <w:r w:rsidRPr="002B42DE">
        <w:rPr>
          <w:rFonts w:ascii="Times New Roman" w:hAnsi="Times New Roman"/>
          <w:color w:val="000000"/>
          <w:lang w:val="en-US"/>
        </w:rPr>
        <w:t xml:space="preserve">oday’s multi-polar world </w:t>
      </w:r>
      <w:r w:rsidR="00C778E8">
        <w:rPr>
          <w:rFonts w:ascii="Times New Roman" w:hAnsi="Times New Roman"/>
          <w:color w:val="000000"/>
          <w:lang w:val="en-US"/>
        </w:rPr>
        <w:t xml:space="preserve">strategically </w:t>
      </w:r>
      <w:r w:rsidRPr="002B42DE">
        <w:rPr>
          <w:rFonts w:ascii="Times New Roman" w:hAnsi="Times New Roman"/>
          <w:color w:val="000000"/>
          <w:lang w:val="en-US"/>
        </w:rPr>
        <w:t xml:space="preserve">requires </w:t>
      </w:r>
      <w:r w:rsidR="00C778E8">
        <w:rPr>
          <w:rFonts w:ascii="Times New Roman" w:hAnsi="Times New Roman"/>
          <w:color w:val="000000"/>
          <w:lang w:val="en-US"/>
        </w:rPr>
        <w:t>avoiding</w:t>
      </w:r>
      <w:r w:rsidRPr="002B42DE">
        <w:rPr>
          <w:rFonts w:ascii="Times New Roman" w:hAnsi="Times New Roman"/>
          <w:color w:val="000000"/>
          <w:lang w:val="en-US"/>
        </w:rPr>
        <w:t xml:space="preserve"> </w:t>
      </w:r>
      <w:r w:rsidR="00C778E8">
        <w:rPr>
          <w:rFonts w:ascii="Times New Roman" w:hAnsi="Times New Roman"/>
          <w:color w:val="000000"/>
          <w:lang w:val="en-US"/>
        </w:rPr>
        <w:t>this</w:t>
      </w:r>
      <w:r w:rsidR="00C778E8" w:rsidRPr="002B42DE">
        <w:rPr>
          <w:rFonts w:ascii="Times New Roman" w:hAnsi="Times New Roman"/>
          <w:color w:val="000000"/>
          <w:lang w:val="en-US"/>
        </w:rPr>
        <w:t xml:space="preserve"> </w:t>
      </w:r>
      <w:r w:rsidR="00C778E8">
        <w:rPr>
          <w:rFonts w:ascii="Times New Roman" w:hAnsi="Times New Roman"/>
          <w:color w:val="000000"/>
          <w:lang w:val="en-US"/>
        </w:rPr>
        <w:t>narrow perspective</w:t>
      </w:r>
      <w:r w:rsidR="00C778E8" w:rsidRPr="002B42DE">
        <w:rPr>
          <w:rFonts w:ascii="Times New Roman" w:hAnsi="Times New Roman"/>
          <w:color w:val="000000"/>
          <w:lang w:val="en-US"/>
        </w:rPr>
        <w:t xml:space="preserve"> </w:t>
      </w:r>
      <w:r w:rsidRPr="002B42DE">
        <w:rPr>
          <w:rFonts w:ascii="Times New Roman" w:hAnsi="Times New Roman"/>
          <w:color w:val="000000"/>
          <w:lang w:val="en-US"/>
        </w:rPr>
        <w:t>by opening the focus beyond the classical occidental “Triad” (US, EU, Japan). A</w:t>
      </w:r>
      <w:r w:rsidRPr="002B42DE">
        <w:rPr>
          <w:rFonts w:ascii="Times New Roman" w:hAnsi="Times New Roman"/>
          <w:lang w:val="en-US"/>
        </w:rPr>
        <w:t xml:space="preserve">ctual developments indicate that India, China, Argentina and Brazil are key players within the global bioeconomy. This is why the other </w:t>
      </w:r>
      <w:r w:rsidR="00E97AF5">
        <w:rPr>
          <w:rFonts w:ascii="Times New Roman" w:hAnsi="Times New Roman"/>
          <w:lang w:val="en-US"/>
        </w:rPr>
        <w:t>main</w:t>
      </w:r>
      <w:r w:rsidRPr="002B42DE">
        <w:rPr>
          <w:rFonts w:ascii="Times New Roman" w:hAnsi="Times New Roman"/>
          <w:lang w:val="en-US"/>
        </w:rPr>
        <w:t xml:space="preserve"> objective of this special issue is to particularly focus on</w:t>
      </w:r>
      <w:r>
        <w:rPr>
          <w:rFonts w:ascii="Times New Roman" w:hAnsi="Times New Roman"/>
          <w:lang w:val="en-US"/>
        </w:rPr>
        <w:t xml:space="preserve"> some of </w:t>
      </w:r>
      <w:r w:rsidR="00C778E8">
        <w:rPr>
          <w:rFonts w:ascii="Times New Roman" w:hAnsi="Times New Roman"/>
          <w:lang w:val="en-US"/>
        </w:rPr>
        <w:t xml:space="preserve">the </w:t>
      </w:r>
      <w:r>
        <w:rPr>
          <w:rFonts w:ascii="Times New Roman" w:hAnsi="Times New Roman"/>
          <w:lang w:val="en-US"/>
        </w:rPr>
        <w:t>key players</w:t>
      </w:r>
      <w:r w:rsidR="00C778E8">
        <w:rPr>
          <w:rFonts w:ascii="Times New Roman" w:hAnsi="Times New Roman"/>
          <w:lang w:val="en-US"/>
        </w:rPr>
        <w:t xml:space="preserve"> in</w:t>
      </w:r>
      <w:r w:rsidRPr="002B42DE">
        <w:rPr>
          <w:rFonts w:ascii="Times New Roman" w:hAnsi="Times New Roman"/>
          <w:lang w:val="en-US"/>
        </w:rPr>
        <w:t xml:space="preserve"> Latin American countries, which are already main actors in the agro-food sector, as well as relevant and rising powers in the biomass/bioenergy or health care/biomedicine sectors. </w:t>
      </w:r>
    </w:p>
    <w:p w:rsidR="005602AD" w:rsidRPr="002B42DE" w:rsidRDefault="005602AD" w:rsidP="00E97AF5">
      <w:pPr>
        <w:spacing w:after="0" w:line="360" w:lineRule="auto"/>
        <w:jc w:val="both"/>
        <w:rPr>
          <w:rFonts w:ascii="Times New Roman" w:hAnsi="Times New Roman"/>
          <w:lang w:val="en-US"/>
        </w:rPr>
      </w:pPr>
    </w:p>
    <w:p w:rsidR="00802D70" w:rsidRDefault="00D32C0D" w:rsidP="00E97AF5">
      <w:pPr>
        <w:spacing w:after="0" w:line="360" w:lineRule="auto"/>
        <w:jc w:val="both"/>
        <w:rPr>
          <w:rFonts w:ascii="Times New Roman" w:hAnsi="Times New Roman"/>
          <w:lang w:val="en-US"/>
        </w:rPr>
      </w:pPr>
      <w:r w:rsidRPr="002B42DE">
        <w:rPr>
          <w:rFonts w:ascii="Times New Roman" w:hAnsi="Times New Roman"/>
          <w:lang w:val="en-US"/>
        </w:rPr>
        <w:t>In Latin America</w:t>
      </w:r>
      <w:r w:rsidR="00C778E8">
        <w:rPr>
          <w:rFonts w:ascii="Times New Roman" w:hAnsi="Times New Roman"/>
          <w:lang w:val="en-US"/>
        </w:rPr>
        <w:t>,</w:t>
      </w:r>
      <w:r w:rsidR="007918FD">
        <w:rPr>
          <w:rFonts w:ascii="Times New Roman" w:hAnsi="Times New Roman"/>
          <w:lang w:val="en-US"/>
        </w:rPr>
        <w:t xml:space="preserve"> </w:t>
      </w:r>
      <w:r w:rsidRPr="002B42DE">
        <w:rPr>
          <w:rFonts w:ascii="Times New Roman" w:hAnsi="Times New Roman"/>
          <w:lang w:val="en-US"/>
        </w:rPr>
        <w:t xml:space="preserve">biotechnology has been surrounded by controversy even when the terms of the controversies have differed from those taking place in European countries. Transgenic plants, in particular, but also, more recently, transgenic insects (see Reis-Castro and Hendrickx, this issue), have been extremely contentious in </w:t>
      </w:r>
      <w:r>
        <w:rPr>
          <w:rFonts w:ascii="Times New Roman" w:hAnsi="Times New Roman"/>
          <w:lang w:val="en-US"/>
        </w:rPr>
        <w:t>scientific, public or</w:t>
      </w:r>
      <w:r w:rsidRPr="002B42DE">
        <w:rPr>
          <w:rFonts w:ascii="Times New Roman" w:hAnsi="Times New Roman"/>
          <w:lang w:val="en-US"/>
        </w:rPr>
        <w:t xml:space="preserve"> policy realms. While this is a global phenomenon, there have been significant regional differences and local enactments of </w:t>
      </w:r>
      <w:r>
        <w:rPr>
          <w:rFonts w:ascii="Times New Roman" w:hAnsi="Times New Roman"/>
          <w:lang w:val="en-US"/>
        </w:rPr>
        <w:t>the bioeconomy master narrative</w:t>
      </w:r>
      <w:r w:rsidRPr="002B42DE">
        <w:rPr>
          <w:rFonts w:ascii="Times New Roman" w:hAnsi="Times New Roman"/>
          <w:lang w:val="en-US"/>
        </w:rPr>
        <w:t xml:space="preserve"> in Latin American contexts. </w:t>
      </w:r>
      <w:r>
        <w:rPr>
          <w:rFonts w:ascii="Times New Roman" w:hAnsi="Times New Roman"/>
          <w:lang w:val="en-US"/>
        </w:rPr>
        <w:t>Askin</w:t>
      </w:r>
      <w:r w:rsidRPr="002B42DE">
        <w:rPr>
          <w:rFonts w:ascii="Times New Roman" w:hAnsi="Times New Roman"/>
          <w:lang w:val="en-US"/>
        </w:rPr>
        <w:t>g the question: “how has biotechnology interacted with</w:t>
      </w:r>
      <w:r>
        <w:rPr>
          <w:rFonts w:ascii="Times New Roman" w:hAnsi="Times New Roman"/>
          <w:lang w:val="en-US"/>
        </w:rPr>
        <w:t xml:space="preserve"> </w:t>
      </w:r>
      <w:r>
        <w:rPr>
          <w:rFonts w:ascii="Times New Roman" w:hAnsi="Times New Roman"/>
          <w:lang w:val="en-GB"/>
        </w:rPr>
        <w:t>distinct national and subnational contexts in</w:t>
      </w:r>
      <w:r w:rsidRPr="002B42DE">
        <w:rPr>
          <w:rFonts w:ascii="Times New Roman" w:hAnsi="Times New Roman"/>
          <w:lang w:val="en-US"/>
        </w:rPr>
        <w:t xml:space="preserve"> Latin America?”, this special issue explores how genetically modified organisms (especially GM </w:t>
      </w:r>
      <w:r>
        <w:rPr>
          <w:rFonts w:ascii="Times New Roman" w:hAnsi="Times New Roman"/>
          <w:lang w:val="en-US"/>
        </w:rPr>
        <w:t>crops</w:t>
      </w:r>
      <w:r w:rsidRPr="002B42DE">
        <w:rPr>
          <w:rFonts w:ascii="Times New Roman" w:hAnsi="Times New Roman"/>
          <w:lang w:val="en-US"/>
        </w:rPr>
        <w:t xml:space="preserve"> and insects) </w:t>
      </w:r>
      <w:r>
        <w:rPr>
          <w:rFonts w:ascii="Times New Roman" w:hAnsi="Times New Roman"/>
          <w:lang w:val="en-GB"/>
        </w:rPr>
        <w:t>become the subject of different framings and controversy</w:t>
      </w:r>
      <w:r w:rsidRPr="002B42DE">
        <w:rPr>
          <w:rFonts w:ascii="Times New Roman" w:hAnsi="Times New Roman"/>
          <w:lang w:val="en-US"/>
        </w:rPr>
        <w:t xml:space="preserve"> across the sub-continent. It also investigates </w:t>
      </w:r>
      <w:r w:rsidR="00C778E8">
        <w:rPr>
          <w:rFonts w:ascii="Times New Roman" w:hAnsi="Times New Roman"/>
          <w:lang w:val="en-US"/>
        </w:rPr>
        <w:t>why Latin American countries and Northern countries build on different emerging narratives even though they</w:t>
      </w:r>
      <w:r w:rsidR="00C778E8" w:rsidRPr="002B42DE">
        <w:rPr>
          <w:rFonts w:ascii="Times New Roman" w:hAnsi="Times New Roman"/>
          <w:lang w:val="en-US"/>
        </w:rPr>
        <w:t xml:space="preserve"> </w:t>
      </w:r>
      <w:r w:rsidRPr="002B42DE">
        <w:rPr>
          <w:rFonts w:ascii="Times New Roman" w:hAnsi="Times New Roman"/>
          <w:lang w:val="en-US"/>
        </w:rPr>
        <w:t xml:space="preserve">share a strategic interest in </w:t>
      </w:r>
      <w:r w:rsidR="007918FD">
        <w:rPr>
          <w:rFonts w:ascii="Times New Roman" w:hAnsi="Times New Roman"/>
          <w:lang w:val="en-US"/>
        </w:rPr>
        <w:t>the bioeconomy</w:t>
      </w:r>
      <w:r w:rsidRPr="002B42DE">
        <w:rPr>
          <w:rFonts w:ascii="Times New Roman" w:hAnsi="Times New Roman"/>
          <w:lang w:val="en-US"/>
        </w:rPr>
        <w:t xml:space="preserve">. </w:t>
      </w:r>
      <w:r w:rsidR="00C778E8">
        <w:rPr>
          <w:rFonts w:ascii="Times New Roman" w:hAnsi="Times New Roman"/>
          <w:lang w:val="en-US"/>
        </w:rPr>
        <w:t>Broaching this question enables policy-makers to develop</w:t>
      </w:r>
      <w:r w:rsidRPr="002B42DE">
        <w:rPr>
          <w:rFonts w:ascii="Times New Roman" w:hAnsi="Times New Roman"/>
          <w:lang w:val="en-US"/>
        </w:rPr>
        <w:t xml:space="preserve"> a</w:t>
      </w:r>
      <w:r>
        <w:rPr>
          <w:rFonts w:ascii="Times New Roman" w:hAnsi="Times New Roman"/>
          <w:lang w:val="en-US"/>
        </w:rPr>
        <w:t xml:space="preserve"> more</w:t>
      </w:r>
      <w:r w:rsidRPr="002B42DE">
        <w:rPr>
          <w:rFonts w:ascii="Times New Roman" w:hAnsi="Times New Roman"/>
          <w:lang w:val="en-US"/>
        </w:rPr>
        <w:t xml:space="preserve"> fine-grained approach that accounts for the </w:t>
      </w:r>
      <w:r w:rsidR="00C778E8">
        <w:rPr>
          <w:rFonts w:ascii="Times New Roman" w:hAnsi="Times New Roman"/>
          <w:lang w:val="en-US"/>
        </w:rPr>
        <w:t>dynamic and</w:t>
      </w:r>
      <w:r w:rsidR="007918FD">
        <w:rPr>
          <w:rFonts w:ascii="Times New Roman" w:hAnsi="Times New Roman"/>
          <w:lang w:val="en-US"/>
        </w:rPr>
        <w:t xml:space="preserve"> </w:t>
      </w:r>
      <w:r w:rsidR="00C778E8">
        <w:rPr>
          <w:rFonts w:ascii="Times New Roman" w:hAnsi="Times New Roman"/>
          <w:lang w:val="en-US"/>
        </w:rPr>
        <w:t>reconfigured</w:t>
      </w:r>
      <w:r w:rsidR="00C778E8" w:rsidRPr="002B42DE">
        <w:rPr>
          <w:rFonts w:ascii="Times New Roman" w:hAnsi="Times New Roman"/>
          <w:lang w:val="en-US"/>
        </w:rPr>
        <w:t xml:space="preserve"> </w:t>
      </w:r>
      <w:r w:rsidRPr="002B42DE">
        <w:rPr>
          <w:rFonts w:ascii="Times New Roman" w:hAnsi="Times New Roman"/>
          <w:lang w:val="en-US"/>
        </w:rPr>
        <w:t xml:space="preserve">relationships between the “global North” and the “global South”. </w:t>
      </w:r>
    </w:p>
    <w:p w:rsidR="00802D70" w:rsidRDefault="00802D70" w:rsidP="00E97AF5">
      <w:pPr>
        <w:spacing w:after="0" w:line="360" w:lineRule="auto"/>
        <w:jc w:val="both"/>
        <w:rPr>
          <w:rFonts w:ascii="Times New Roman" w:hAnsi="Times New Roman"/>
          <w:lang w:val="en-US"/>
        </w:rPr>
      </w:pPr>
    </w:p>
    <w:p w:rsidR="00802D70" w:rsidRPr="002B42DE" w:rsidRDefault="00C778E8" w:rsidP="00E97AF5">
      <w:pPr>
        <w:spacing w:after="0" w:line="360" w:lineRule="auto"/>
        <w:jc w:val="both"/>
        <w:rPr>
          <w:rFonts w:ascii="Times New Roman" w:hAnsi="Times New Roman"/>
          <w:lang w:val="en-US"/>
        </w:rPr>
      </w:pPr>
      <w:r>
        <w:rPr>
          <w:rFonts w:ascii="Times New Roman" w:hAnsi="Times New Roman"/>
          <w:lang w:val="en-US"/>
        </w:rPr>
        <w:t>This</w:t>
      </w:r>
      <w:r w:rsidR="00D32C0D" w:rsidRPr="002B42DE">
        <w:rPr>
          <w:rFonts w:ascii="Times New Roman" w:hAnsi="Times New Roman"/>
          <w:lang w:val="en-US"/>
        </w:rPr>
        <w:t xml:space="preserve"> special issue explore</w:t>
      </w:r>
      <w:r>
        <w:rPr>
          <w:rFonts w:ascii="Times New Roman" w:hAnsi="Times New Roman"/>
          <w:lang w:val="en-US"/>
        </w:rPr>
        <w:t>s</w:t>
      </w:r>
      <w:r w:rsidR="00D32C0D">
        <w:rPr>
          <w:rFonts w:ascii="Times New Roman" w:hAnsi="Times New Roman"/>
          <w:lang w:val="en-US"/>
        </w:rPr>
        <w:t xml:space="preserve"> </w:t>
      </w:r>
      <w:r w:rsidR="00D32C0D" w:rsidRPr="002B42DE">
        <w:rPr>
          <w:rFonts w:ascii="Times New Roman" w:hAnsi="Times New Roman"/>
          <w:lang w:val="en-US"/>
        </w:rPr>
        <w:t>cases from Latin American countries, studied in comparison to global trends in the arenas of public participation, scientific knowl</w:t>
      </w:r>
      <w:r w:rsidR="00D32C0D">
        <w:rPr>
          <w:rFonts w:ascii="Times New Roman" w:hAnsi="Times New Roman"/>
          <w:lang w:val="en-US"/>
        </w:rPr>
        <w:t>edge production,</w:t>
      </w:r>
      <w:r w:rsidR="00184964">
        <w:rPr>
          <w:rFonts w:ascii="Times New Roman" w:hAnsi="Times New Roman"/>
          <w:lang w:val="en-US"/>
        </w:rPr>
        <w:t xml:space="preserve"> regulation</w:t>
      </w:r>
      <w:r w:rsidR="00D32C0D">
        <w:rPr>
          <w:rFonts w:ascii="Times New Roman" w:hAnsi="Times New Roman"/>
          <w:lang w:val="en-US"/>
        </w:rPr>
        <w:t xml:space="preserve"> and governance</w:t>
      </w:r>
      <w:r w:rsidR="00D32C0D" w:rsidRPr="002B42DE">
        <w:rPr>
          <w:rFonts w:ascii="Times New Roman" w:hAnsi="Times New Roman"/>
          <w:lang w:val="en-US"/>
        </w:rPr>
        <w:t xml:space="preserve">. </w:t>
      </w:r>
      <w:r w:rsidR="00D32C0D">
        <w:rPr>
          <w:rFonts w:ascii="Times New Roman" w:hAnsi="Times New Roman"/>
          <w:lang w:val="en-US"/>
        </w:rPr>
        <w:t>The authors demonstrate the</w:t>
      </w:r>
      <w:r w:rsidR="00D32C0D" w:rsidRPr="002B42DE">
        <w:rPr>
          <w:rFonts w:ascii="Times New Roman" w:hAnsi="Times New Roman"/>
          <w:lang w:val="en-US"/>
        </w:rPr>
        <w:t xml:space="preserve"> complexity</w:t>
      </w:r>
      <w:r w:rsidR="00D32C0D">
        <w:rPr>
          <w:rFonts w:ascii="Times New Roman" w:hAnsi="Times New Roman"/>
          <w:lang w:val="en-US"/>
        </w:rPr>
        <w:t xml:space="preserve"> of these cases</w:t>
      </w:r>
      <w:r w:rsidR="00D32C0D" w:rsidRPr="002B42DE">
        <w:rPr>
          <w:rFonts w:ascii="Times New Roman" w:hAnsi="Times New Roman"/>
          <w:lang w:val="en-US"/>
        </w:rPr>
        <w:t>, both in terms of regional differences and the different spaces of public, policy, and scientific knowledge production into which such innovations are inserted.</w:t>
      </w:r>
      <w:r w:rsidR="00D32C0D">
        <w:rPr>
          <w:rFonts w:ascii="Times New Roman" w:hAnsi="Times New Roman"/>
          <w:lang w:val="en-US"/>
        </w:rPr>
        <w:t xml:space="preserve"> The articles are based</w:t>
      </w:r>
      <w:r w:rsidR="00D32C0D" w:rsidRPr="002B42DE">
        <w:rPr>
          <w:rFonts w:ascii="Times New Roman" w:hAnsi="Times New Roman"/>
          <w:lang w:val="en-US"/>
        </w:rPr>
        <w:t xml:space="preserve"> on</w:t>
      </w:r>
      <w:r w:rsidR="00D32C0D">
        <w:rPr>
          <w:rFonts w:ascii="Times New Roman" w:hAnsi="Times New Roman"/>
          <w:lang w:val="en-US"/>
        </w:rPr>
        <w:t xml:space="preserve"> rich</w:t>
      </w:r>
      <w:r w:rsidR="00D32C0D" w:rsidRPr="002B42DE">
        <w:rPr>
          <w:rFonts w:ascii="Times New Roman" w:hAnsi="Times New Roman"/>
          <w:lang w:val="en-US"/>
        </w:rPr>
        <w:t xml:space="preserve"> empirical data collected in Argentina, Brazil, Chile and Paraguay. </w:t>
      </w:r>
      <w:r w:rsidR="00C95EFC">
        <w:rPr>
          <w:rFonts w:ascii="Times New Roman" w:hAnsi="Times New Roman"/>
          <w:lang w:val="en-US"/>
        </w:rPr>
        <w:t>Authors</w:t>
      </w:r>
      <w:r w:rsidR="00D32C0D" w:rsidRPr="002B42DE">
        <w:rPr>
          <w:rFonts w:ascii="Times New Roman" w:hAnsi="Times New Roman"/>
          <w:lang w:val="en-US"/>
        </w:rPr>
        <w:t xml:space="preserve"> show that the top-down circulation of policy narratives on biotechnology is challenged, complemented and even partly undermined by local bottom-up dynamics</w:t>
      </w:r>
      <w:r w:rsidR="00D32C0D">
        <w:rPr>
          <w:rFonts w:ascii="Times New Roman" w:hAnsi="Times New Roman"/>
          <w:lang w:val="en-US"/>
        </w:rPr>
        <w:t xml:space="preserve">. </w:t>
      </w:r>
      <w:r w:rsidR="00C95EFC">
        <w:rPr>
          <w:rFonts w:ascii="Times New Roman" w:hAnsi="Times New Roman"/>
          <w:lang w:val="en-US"/>
        </w:rPr>
        <w:t>Conversely, articles also</w:t>
      </w:r>
      <w:r w:rsidR="00D32C0D">
        <w:rPr>
          <w:rFonts w:ascii="Times New Roman" w:hAnsi="Times New Roman"/>
          <w:lang w:val="en-US"/>
        </w:rPr>
        <w:t xml:space="preserve"> focus on those grassroots dynamics and the ways they are influenced and conditioned by macro-sociological and political economic factors</w:t>
      </w:r>
      <w:r w:rsidR="00D32C0D" w:rsidRPr="002B42DE">
        <w:rPr>
          <w:rFonts w:ascii="Times New Roman" w:hAnsi="Times New Roman"/>
          <w:lang w:val="en-US"/>
        </w:rPr>
        <w:t>.</w:t>
      </w:r>
      <w:r w:rsidR="00D32C0D">
        <w:rPr>
          <w:rFonts w:ascii="Times New Roman" w:hAnsi="Times New Roman"/>
          <w:lang w:val="en-US"/>
        </w:rPr>
        <w:t xml:space="preserve"> </w:t>
      </w:r>
      <w:r w:rsidR="00C95EFC">
        <w:rPr>
          <w:rFonts w:ascii="Times New Roman" w:hAnsi="Times New Roman"/>
          <w:lang w:val="en-US"/>
        </w:rPr>
        <w:t>Lastly, a great deal of attention is paid to</w:t>
      </w:r>
      <w:r w:rsidR="00D32C0D">
        <w:rPr>
          <w:rFonts w:ascii="Times New Roman" w:hAnsi="Times New Roman"/>
          <w:lang w:val="en-US"/>
        </w:rPr>
        <w:t xml:space="preserve"> </w:t>
      </w:r>
      <w:r w:rsidR="00C95EFC">
        <w:rPr>
          <w:rFonts w:ascii="Times New Roman" w:hAnsi="Times New Roman"/>
          <w:lang w:val="en-US"/>
        </w:rPr>
        <w:t>the ways</w:t>
      </w:r>
      <w:r w:rsidR="00D32C0D">
        <w:rPr>
          <w:rFonts w:ascii="Times New Roman" w:hAnsi="Times New Roman"/>
          <w:lang w:val="en-US"/>
        </w:rPr>
        <w:t xml:space="preserve"> states and national actors actively contribute to their own insertion in globalized markets where bioengineered living resources are increasingly tasked with solving the most pressing economic and social issues.</w:t>
      </w:r>
      <w:r w:rsidR="00C95EFC">
        <w:rPr>
          <w:rFonts w:ascii="Times New Roman" w:hAnsi="Times New Roman"/>
          <w:lang w:val="en-US"/>
        </w:rPr>
        <w:t xml:space="preserve"> We believe that this collection of works challenges scholars, intellectuals, policy-makers and relevant stakeholders to open up th</w:t>
      </w:r>
      <w:r w:rsidR="00C26B77">
        <w:rPr>
          <w:rFonts w:ascii="Times New Roman" w:hAnsi="Times New Roman"/>
          <w:lang w:val="en-US"/>
        </w:rPr>
        <w:t xml:space="preserve">eir views of biotechnology as a </w:t>
      </w:r>
      <w:r>
        <w:rPr>
          <w:rFonts w:ascii="Times New Roman" w:hAnsi="Times New Roman"/>
          <w:lang w:val="en-US"/>
        </w:rPr>
        <w:t>dynamic</w:t>
      </w:r>
      <w:r w:rsidR="00C26B77">
        <w:rPr>
          <w:rFonts w:ascii="Times New Roman" w:hAnsi="Times New Roman"/>
          <w:lang w:val="en-US"/>
        </w:rPr>
        <w:t xml:space="preserve"> construct that</w:t>
      </w:r>
      <w:r w:rsidR="00C95EFC">
        <w:rPr>
          <w:rFonts w:ascii="Times New Roman" w:hAnsi="Times New Roman"/>
          <w:lang w:val="en-US"/>
        </w:rPr>
        <w:t xml:space="preserve"> interacts with local situations in a variety</w:t>
      </w:r>
      <w:r w:rsidR="007918FD">
        <w:rPr>
          <w:rFonts w:ascii="Times New Roman" w:hAnsi="Times New Roman"/>
          <w:lang w:val="en-US"/>
        </w:rPr>
        <w:t xml:space="preserve"> of</w:t>
      </w:r>
      <w:r w:rsidR="00C95EFC">
        <w:rPr>
          <w:rFonts w:ascii="Times New Roman" w:hAnsi="Times New Roman"/>
          <w:lang w:val="en-US"/>
        </w:rPr>
        <w:t xml:space="preserve"> ways.</w:t>
      </w:r>
      <w:r w:rsidR="00D32C0D" w:rsidRPr="002B42DE">
        <w:rPr>
          <w:rFonts w:ascii="Times New Roman" w:hAnsi="Times New Roman"/>
          <w:lang w:val="en-US"/>
        </w:rPr>
        <w:t xml:space="preserve"> </w:t>
      </w:r>
      <w:r w:rsidR="00D32C0D">
        <w:rPr>
          <w:rFonts w:ascii="Times New Roman" w:hAnsi="Times New Roman"/>
          <w:lang w:val="en-US"/>
        </w:rPr>
        <w:t>From a more distanced perspective, t</w:t>
      </w:r>
      <w:r w:rsidR="00D32C0D" w:rsidRPr="002B42DE">
        <w:rPr>
          <w:rFonts w:ascii="Times New Roman" w:hAnsi="Times New Roman"/>
          <w:lang w:val="en-US"/>
        </w:rPr>
        <w:t>he</w:t>
      </w:r>
      <w:r w:rsidR="00D32C0D">
        <w:rPr>
          <w:rFonts w:ascii="Times New Roman" w:hAnsi="Times New Roman"/>
          <w:lang w:val="en-US"/>
        </w:rPr>
        <w:t xml:space="preserve"> aggregated</w:t>
      </w:r>
      <w:r w:rsidR="00D32C0D" w:rsidRPr="002B42DE">
        <w:rPr>
          <w:rFonts w:ascii="Times New Roman" w:hAnsi="Times New Roman"/>
          <w:lang w:val="en-US"/>
        </w:rPr>
        <w:t xml:space="preserve"> findings</w:t>
      </w:r>
      <w:r w:rsidR="00D32C0D">
        <w:rPr>
          <w:rFonts w:ascii="Times New Roman" w:hAnsi="Times New Roman"/>
          <w:lang w:val="en-US"/>
        </w:rPr>
        <w:t xml:space="preserve"> of the contributors to this special issue</w:t>
      </w:r>
      <w:r w:rsidR="00D32C0D" w:rsidRPr="002B42DE">
        <w:rPr>
          <w:rFonts w:ascii="Times New Roman" w:hAnsi="Times New Roman"/>
          <w:lang w:val="en-US"/>
        </w:rPr>
        <w:t xml:space="preserve"> suggest that the important tasks for scholarly work on bioeconomy today become (1) to observe and critically assess the de-localization and re-localization of the concept of bioeconomy in Latin America where biological resources have become increasingly strategic over the last decades; (2) to analyze the bioeconomy as</w:t>
      </w:r>
      <w:r w:rsidR="00D32C0D">
        <w:rPr>
          <w:rFonts w:ascii="Times New Roman" w:hAnsi="Times New Roman"/>
          <w:lang w:val="en-US"/>
        </w:rPr>
        <w:t xml:space="preserve"> a</w:t>
      </w:r>
      <w:r w:rsidR="00D32C0D" w:rsidRPr="002B42DE">
        <w:rPr>
          <w:rFonts w:ascii="Times New Roman" w:hAnsi="Times New Roman"/>
          <w:lang w:val="en-US"/>
        </w:rPr>
        <w:t xml:space="preserve"> </w:t>
      </w:r>
      <w:r w:rsidR="00D32C0D">
        <w:rPr>
          <w:rFonts w:ascii="Times New Roman" w:hAnsi="Times New Roman"/>
          <w:lang w:val="en-US"/>
        </w:rPr>
        <w:t>site of</w:t>
      </w:r>
      <w:r w:rsidR="00D32C0D" w:rsidRPr="002B42DE">
        <w:rPr>
          <w:rFonts w:ascii="Times New Roman" w:hAnsi="Times New Roman"/>
          <w:lang w:val="en-US"/>
        </w:rPr>
        <w:t xml:space="preserve"> struggles among countries and/or social groups who articulate strategic visions as part of narrating activities. Recent publications on the notion of bioeconomy (e.g. </w:t>
      </w:r>
      <w:r w:rsidR="001E2D4C">
        <w:rPr>
          <w:rFonts w:ascii="Times New Roman" w:hAnsi="Times New Roman"/>
          <w:lang w:val="en-US"/>
        </w:rPr>
        <w:t>[4]</w:t>
      </w:r>
      <w:r w:rsidR="00D32C0D" w:rsidRPr="002B42DE">
        <w:rPr>
          <w:rFonts w:ascii="Times New Roman" w:hAnsi="Times New Roman"/>
          <w:lang w:val="en-US"/>
        </w:rPr>
        <w:t xml:space="preserve">) </w:t>
      </w:r>
      <w:r w:rsidR="00D32C0D">
        <w:rPr>
          <w:rFonts w:ascii="Times New Roman" w:hAnsi="Times New Roman"/>
          <w:lang w:val="en-US"/>
        </w:rPr>
        <w:t>assert</w:t>
      </w:r>
      <w:r w:rsidR="00D32C0D" w:rsidRPr="002B42DE">
        <w:rPr>
          <w:rFonts w:ascii="Times New Roman" w:hAnsi="Times New Roman"/>
          <w:lang w:val="en-US"/>
        </w:rPr>
        <w:t xml:space="preserve"> that it was “motivated by the need of maintaining OECD countries’ competitiveness in relation to emerging economies”. So, clearly, bioeconomy is part of </w:t>
      </w:r>
      <w:r w:rsidR="004E2D1F">
        <w:rPr>
          <w:rFonts w:ascii="Times New Roman" w:hAnsi="Times New Roman"/>
          <w:lang w:val="en-US"/>
        </w:rPr>
        <w:t>a</w:t>
      </w:r>
      <w:r w:rsidR="00D32C0D" w:rsidRPr="002B42DE">
        <w:rPr>
          <w:rFonts w:ascii="Times New Roman" w:hAnsi="Times New Roman"/>
          <w:lang w:val="en-US"/>
        </w:rPr>
        <w:t xml:space="preserve"> narrative originating from core countries and there is something important at stake for others actors involved and concerned by it. This touches on an incipient question: how do other actors, e.g. from peripheral countries and emerging economies, shape this narrative in return? </w:t>
      </w:r>
    </w:p>
    <w:p w:rsidR="00802D70" w:rsidRPr="002B42DE" w:rsidRDefault="00802D70" w:rsidP="00E97AF5">
      <w:pPr>
        <w:spacing w:after="0" w:line="360" w:lineRule="auto"/>
        <w:jc w:val="both"/>
        <w:rPr>
          <w:rFonts w:ascii="Times New Roman" w:hAnsi="Times New Roman"/>
          <w:lang w:val="en-US"/>
        </w:rPr>
      </w:pPr>
    </w:p>
    <w:p w:rsidR="00802D70" w:rsidRPr="002B42DE" w:rsidRDefault="00D32C0D" w:rsidP="00E97AF5">
      <w:pPr>
        <w:spacing w:after="0" w:line="360" w:lineRule="auto"/>
        <w:jc w:val="both"/>
        <w:rPr>
          <w:rFonts w:ascii="Times New Roman" w:hAnsi="Times New Roman"/>
          <w:lang w:val="en-US"/>
        </w:rPr>
      </w:pPr>
      <w:r w:rsidRPr="002B42DE">
        <w:rPr>
          <w:rFonts w:ascii="Times New Roman" w:hAnsi="Times New Roman"/>
          <w:lang w:val="en-US"/>
        </w:rPr>
        <w:t xml:space="preserve">To grasp the full texture of these struggles, </w:t>
      </w:r>
      <w:r w:rsidRPr="002B42DE">
        <w:rPr>
          <w:rFonts w:ascii="Times New Roman" w:hAnsi="Times New Roman"/>
          <w:lang w:val="en-US" w:eastAsia="en-US"/>
        </w:rPr>
        <w:t xml:space="preserve">a more Foucaldian conception of power as a relation is necessary, one which does not treat power as intrinsically bad or oppressive but ontologically necessary to human interactions. Under </w:t>
      </w:r>
      <w:r w:rsidR="00C778E8">
        <w:rPr>
          <w:rFonts w:ascii="Times New Roman" w:hAnsi="Times New Roman"/>
          <w:lang w:val="en-US" w:eastAsia="en-US"/>
        </w:rPr>
        <w:t>this</w:t>
      </w:r>
      <w:r w:rsidR="00C778E8" w:rsidRPr="002B42DE">
        <w:rPr>
          <w:rFonts w:ascii="Times New Roman" w:hAnsi="Times New Roman"/>
          <w:lang w:val="en-US" w:eastAsia="en-US"/>
        </w:rPr>
        <w:t xml:space="preserve"> </w:t>
      </w:r>
      <w:r w:rsidRPr="002B42DE">
        <w:rPr>
          <w:rFonts w:ascii="Times New Roman" w:hAnsi="Times New Roman"/>
          <w:lang w:val="en-US" w:eastAsia="en-US"/>
        </w:rPr>
        <w:t xml:space="preserve">conception, </w:t>
      </w:r>
      <w:r w:rsidR="007918FD">
        <w:rPr>
          <w:rFonts w:ascii="Times New Roman" w:hAnsi="Times New Roman"/>
          <w:lang w:val="en-US"/>
        </w:rPr>
        <w:t>“</w:t>
      </w:r>
      <w:r w:rsidRPr="002B42DE">
        <w:rPr>
          <w:rFonts w:ascii="Times New Roman" w:hAnsi="Times New Roman"/>
          <w:lang w:val="en-US"/>
        </w:rPr>
        <w:t>the exercise of power consists in guiding the possibility of conduct and putting in order the possible outcome</w:t>
      </w:r>
      <w:r w:rsidR="007918FD">
        <w:rPr>
          <w:rFonts w:ascii="Times New Roman" w:hAnsi="Times New Roman"/>
          <w:lang w:val="en-US"/>
        </w:rPr>
        <w:t xml:space="preserve">. </w:t>
      </w:r>
      <w:r w:rsidRPr="002B42DE">
        <w:rPr>
          <w:rFonts w:ascii="Times New Roman" w:hAnsi="Times New Roman"/>
          <w:lang w:val="en-US"/>
        </w:rPr>
        <w:t>To govern, in this sense, is to structure the possible field of action of others</w:t>
      </w:r>
      <w:r w:rsidR="007918FD">
        <w:rPr>
          <w:rFonts w:ascii="Times New Roman" w:hAnsi="Times New Roman"/>
          <w:lang w:val="en-US"/>
        </w:rPr>
        <w:t>”</w:t>
      </w:r>
      <w:r w:rsidR="001E2D4C">
        <w:rPr>
          <w:rFonts w:ascii="Times New Roman" w:hAnsi="Times New Roman"/>
          <w:lang w:val="en-US"/>
        </w:rPr>
        <w:t xml:space="preserve"> [7], p. 790]</w:t>
      </w:r>
      <w:r w:rsidRPr="002B42DE">
        <w:rPr>
          <w:rFonts w:ascii="Times New Roman" w:hAnsi="Times New Roman"/>
          <w:lang w:val="en-US"/>
        </w:rPr>
        <w:t>. Citton</w:t>
      </w:r>
      <w:r w:rsidR="001E2D4C">
        <w:rPr>
          <w:rFonts w:ascii="Times New Roman" w:hAnsi="Times New Roman"/>
          <w:lang w:val="en-US"/>
        </w:rPr>
        <w:t xml:space="preserve"> [8]</w:t>
      </w:r>
      <w:r w:rsidRPr="002B42DE">
        <w:rPr>
          <w:rFonts w:ascii="Times New Roman" w:hAnsi="Times New Roman"/>
          <w:lang w:val="en-US"/>
        </w:rPr>
        <w:t xml:space="preserve"> translates this definition in narrative terms</w:t>
      </w:r>
      <w:r w:rsidR="00F259E7">
        <w:rPr>
          <w:rFonts w:ascii="Times New Roman" w:hAnsi="Times New Roman"/>
          <w:lang w:val="en-US"/>
        </w:rPr>
        <w:t xml:space="preserve"> and he considers that</w:t>
      </w:r>
      <w:r w:rsidRPr="002B42DE">
        <w:rPr>
          <w:rFonts w:ascii="Times New Roman" w:hAnsi="Times New Roman"/>
          <w:lang w:val="en-US"/>
        </w:rPr>
        <w:t xml:space="preserve"> any relation of power can be boiled down to a capacity to </w:t>
      </w:r>
      <w:r w:rsidR="00F259E7">
        <w:rPr>
          <w:rFonts w:ascii="Times New Roman" w:hAnsi="Times New Roman"/>
          <w:lang w:val="en-US"/>
        </w:rPr>
        <w:t>‘</w:t>
      </w:r>
      <w:r w:rsidRPr="002B42DE">
        <w:rPr>
          <w:rFonts w:ascii="Times New Roman" w:hAnsi="Times New Roman"/>
          <w:lang w:val="en-US"/>
        </w:rPr>
        <w:t>scenarize</w:t>
      </w:r>
      <w:r w:rsidR="00F259E7">
        <w:rPr>
          <w:rFonts w:ascii="Times New Roman" w:hAnsi="Times New Roman"/>
          <w:lang w:val="en-US"/>
        </w:rPr>
        <w:t>’</w:t>
      </w:r>
      <w:r w:rsidRPr="002B42DE">
        <w:rPr>
          <w:rFonts w:ascii="Times New Roman" w:hAnsi="Times New Roman"/>
          <w:lang w:val="en-US"/>
        </w:rPr>
        <w:t xml:space="preserve"> </w:t>
      </w:r>
      <w:r w:rsidR="009B3D02">
        <w:rPr>
          <w:rFonts w:ascii="Times New Roman" w:hAnsi="Times New Roman"/>
          <w:lang w:val="en-US"/>
        </w:rPr>
        <w:t>someone’</w:t>
      </w:r>
      <w:r w:rsidRPr="002B42DE">
        <w:rPr>
          <w:rFonts w:ascii="Times New Roman" w:hAnsi="Times New Roman"/>
          <w:lang w:val="en-US"/>
        </w:rPr>
        <w:t>s action. Citton calls this asymmetrical but reciprocal form of power</w:t>
      </w:r>
      <w:r>
        <w:rPr>
          <w:rFonts w:ascii="Times New Roman" w:hAnsi="Times New Roman"/>
          <w:lang w:val="en-US"/>
        </w:rPr>
        <w:t xml:space="preserve"> </w:t>
      </w:r>
      <w:r w:rsidRPr="002B42DE">
        <w:rPr>
          <w:rFonts w:ascii="Times New Roman" w:hAnsi="Times New Roman"/>
          <w:lang w:val="en-US"/>
        </w:rPr>
        <w:t>‘</w:t>
      </w:r>
      <w:r w:rsidRPr="002B42DE">
        <w:rPr>
          <w:rFonts w:ascii="Times New Roman" w:hAnsi="Times New Roman"/>
          <w:iCs/>
          <w:lang w:val="en-US"/>
        </w:rPr>
        <w:t>power of scenarization’</w:t>
      </w:r>
      <w:r w:rsidRPr="002B42DE">
        <w:rPr>
          <w:rFonts w:ascii="Times New Roman" w:hAnsi="Times New Roman"/>
          <w:lang w:val="en-US"/>
        </w:rPr>
        <w:t xml:space="preserve">. This turns narratives into mediating instances constitutive of politics and power relations. Cognitive approaches to public policy had already stressed the circular relationship between meaning and power </w:t>
      </w:r>
      <w:r w:rsidR="00FE363A">
        <w:rPr>
          <w:rFonts w:ascii="Times New Roman" w:hAnsi="Times New Roman"/>
          <w:lang w:val="en-US"/>
        </w:rPr>
        <w:t>[9]</w:t>
      </w:r>
      <w:r w:rsidRPr="002B42DE">
        <w:rPr>
          <w:rFonts w:ascii="Times New Roman" w:hAnsi="Times New Roman"/>
          <w:lang w:val="en-US"/>
        </w:rPr>
        <w:t>. But as Cl</w:t>
      </w:r>
      <w:r w:rsidR="009B3D02">
        <w:rPr>
          <w:rFonts w:ascii="Times New Roman" w:hAnsi="Times New Roman"/>
          <w:lang w:val="en-US"/>
        </w:rPr>
        <w:t>aisse</w:t>
      </w:r>
      <w:r w:rsidR="00FE363A">
        <w:rPr>
          <w:rFonts w:ascii="Times New Roman" w:hAnsi="Times New Roman"/>
          <w:lang w:val="en-US"/>
        </w:rPr>
        <w:t xml:space="preserve"> [10]</w:t>
      </w:r>
      <w:r w:rsidR="009B3D02">
        <w:rPr>
          <w:rFonts w:ascii="Times New Roman" w:hAnsi="Times New Roman"/>
          <w:lang w:val="en-US"/>
        </w:rPr>
        <w:t xml:space="preserve"> reminds us, Citton’</w:t>
      </w:r>
      <w:r w:rsidRPr="002B42DE">
        <w:rPr>
          <w:rFonts w:ascii="Times New Roman" w:hAnsi="Times New Roman"/>
          <w:lang w:val="en-US"/>
        </w:rPr>
        <w:t>s ‘power of scenarization’ goes one step further with the claim that power functions as a narrative, reduced to the same elementary components. This deep homology between narrative and power means that narratives are not only objects of knowledge, cognitive instruments or strategic resources, but are located at the heart of power and of its distribution (</w:t>
      </w:r>
      <w:r w:rsidR="009B3D02">
        <w:rPr>
          <w:rFonts w:ascii="Times New Roman" w:hAnsi="Times New Roman"/>
          <w:lang w:val="en-US"/>
        </w:rPr>
        <w:t>see also</w:t>
      </w:r>
      <w:r w:rsidRPr="002B42DE">
        <w:rPr>
          <w:rFonts w:ascii="Times New Roman" w:hAnsi="Times New Roman"/>
          <w:lang w:val="en-US"/>
        </w:rPr>
        <w:t xml:space="preserve"> </w:t>
      </w:r>
      <w:r w:rsidR="00973701">
        <w:rPr>
          <w:rFonts w:ascii="Times New Roman" w:hAnsi="Times New Roman"/>
          <w:lang w:val="en-US"/>
        </w:rPr>
        <w:t>[11]</w:t>
      </w:r>
      <w:r w:rsidRPr="002B42DE">
        <w:rPr>
          <w:rFonts w:ascii="Times New Roman" w:hAnsi="Times New Roman"/>
          <w:lang w:val="en-US"/>
        </w:rPr>
        <w:t xml:space="preserve">). </w:t>
      </w:r>
      <w:r w:rsidRPr="002B42DE">
        <w:rPr>
          <w:rFonts w:ascii="Times New Roman" w:hAnsi="Times New Roman"/>
          <w:lang w:val="en-US" w:eastAsia="en-US"/>
        </w:rPr>
        <w:t xml:space="preserve">The outcome of situated </w:t>
      </w:r>
      <w:r w:rsidR="00C778E8">
        <w:rPr>
          <w:rFonts w:ascii="Times New Roman" w:hAnsi="Times New Roman"/>
          <w:lang w:val="en-US" w:eastAsia="en-US"/>
        </w:rPr>
        <w:t>science and technology</w:t>
      </w:r>
      <w:r w:rsidRPr="002B42DE">
        <w:rPr>
          <w:rFonts w:ascii="Times New Roman" w:hAnsi="Times New Roman"/>
          <w:lang w:val="en-US" w:eastAsia="en-US"/>
        </w:rPr>
        <w:t xml:space="preserve"> struggles is </w:t>
      </w:r>
      <w:r w:rsidR="00F259E7">
        <w:rPr>
          <w:rFonts w:ascii="Times New Roman" w:hAnsi="Times New Roman"/>
          <w:lang w:val="en-US" w:eastAsia="en-US"/>
        </w:rPr>
        <w:t>open-ended</w:t>
      </w:r>
      <w:r w:rsidRPr="002B42DE">
        <w:rPr>
          <w:rFonts w:ascii="Times New Roman" w:hAnsi="Times New Roman"/>
          <w:lang w:val="en-US" w:eastAsia="en-US"/>
        </w:rPr>
        <w:t xml:space="preserve">, </w:t>
      </w:r>
      <w:r w:rsidR="00C778E8">
        <w:rPr>
          <w:rFonts w:ascii="Times New Roman" w:hAnsi="Times New Roman"/>
          <w:lang w:val="en-US" w:eastAsia="en-US"/>
        </w:rPr>
        <w:t>because</w:t>
      </w:r>
      <w:r w:rsidRPr="002B42DE">
        <w:rPr>
          <w:rFonts w:ascii="Times New Roman" w:hAnsi="Times New Roman"/>
          <w:lang w:val="en-US" w:eastAsia="en-US"/>
        </w:rPr>
        <w:t xml:space="preserve"> no actor can anticipate the exact results of </w:t>
      </w:r>
      <w:r w:rsidR="00C778E8">
        <w:rPr>
          <w:rFonts w:ascii="Times New Roman" w:hAnsi="Times New Roman"/>
          <w:lang w:val="en-US" w:eastAsia="en-US"/>
        </w:rPr>
        <w:t>their</w:t>
      </w:r>
      <w:r w:rsidR="00C778E8" w:rsidRPr="002B42DE">
        <w:rPr>
          <w:rFonts w:ascii="Times New Roman" w:hAnsi="Times New Roman"/>
          <w:lang w:val="en-US" w:eastAsia="en-US"/>
        </w:rPr>
        <w:t xml:space="preserve"> </w:t>
      </w:r>
      <w:r w:rsidRPr="002B42DE">
        <w:rPr>
          <w:rFonts w:ascii="Times New Roman" w:hAnsi="Times New Roman"/>
          <w:lang w:val="en-US" w:eastAsia="en-US"/>
        </w:rPr>
        <w:t>action. However, the “scope of possibilities” to make meaning through narrative — thus to exert power — differs much among the actors, and strategic articulations occur as an important part of narration activities</w:t>
      </w:r>
      <w:r w:rsidR="00973701">
        <w:rPr>
          <w:rFonts w:ascii="Times New Roman" w:hAnsi="Times New Roman"/>
          <w:lang w:val="en-US" w:eastAsia="en-US"/>
        </w:rPr>
        <w:t xml:space="preserve"> [12], p. 33]</w:t>
      </w:r>
      <w:r w:rsidRPr="002B42DE">
        <w:rPr>
          <w:rFonts w:ascii="Times New Roman" w:hAnsi="Times New Roman"/>
          <w:lang w:val="en-US" w:eastAsia="en-US"/>
        </w:rPr>
        <w:t xml:space="preserve">. </w:t>
      </w:r>
      <w:r w:rsidRPr="002B42DE">
        <w:rPr>
          <w:rFonts w:ascii="Times New Roman" w:hAnsi="Times New Roman"/>
          <w:lang w:val="en-US"/>
        </w:rPr>
        <w:t>The recent enactments of bioeconomy narratives recast power relations between OECD and L</w:t>
      </w:r>
      <w:r w:rsidR="00BD69C5">
        <w:rPr>
          <w:rFonts w:ascii="Times New Roman" w:hAnsi="Times New Roman"/>
          <w:lang w:val="en-US"/>
        </w:rPr>
        <w:t>atin American countries</w:t>
      </w:r>
      <w:r w:rsidR="00C778E8">
        <w:rPr>
          <w:rFonts w:ascii="Times New Roman" w:hAnsi="Times New Roman"/>
          <w:lang w:val="en-US"/>
        </w:rPr>
        <w:t>.</w:t>
      </w:r>
      <w:r w:rsidR="00BD69C5">
        <w:rPr>
          <w:rFonts w:ascii="Times New Roman" w:hAnsi="Times New Roman"/>
          <w:lang w:val="en-US"/>
        </w:rPr>
        <w:t xml:space="preserve"> </w:t>
      </w:r>
      <w:r w:rsidR="00C778E8">
        <w:rPr>
          <w:rFonts w:ascii="Times New Roman" w:hAnsi="Times New Roman"/>
          <w:lang w:val="en-US"/>
        </w:rPr>
        <w:t>T</w:t>
      </w:r>
      <w:r w:rsidR="00BD69C5">
        <w:rPr>
          <w:rFonts w:ascii="Times New Roman" w:hAnsi="Times New Roman"/>
          <w:lang w:val="en-US"/>
        </w:rPr>
        <w:t>hus they</w:t>
      </w:r>
      <w:r w:rsidRPr="002B42DE">
        <w:rPr>
          <w:rFonts w:ascii="Times New Roman" w:hAnsi="Times New Roman"/>
          <w:lang w:val="en-US"/>
        </w:rPr>
        <w:t xml:space="preserve"> also recast dependency relations if power is taken in Foucaldian terms as stated above.</w:t>
      </w:r>
      <w:r w:rsidR="00BD69C5">
        <w:rPr>
          <w:rFonts w:ascii="Times New Roman" w:hAnsi="Times New Roman"/>
          <w:lang w:val="en-US"/>
        </w:rPr>
        <w:t xml:space="preserve"> Amid this site of struggle for power, involved</w:t>
      </w:r>
      <w:r w:rsidR="00C26B77">
        <w:rPr>
          <w:rFonts w:ascii="Times New Roman" w:hAnsi="Times New Roman"/>
          <w:lang w:val="en-US"/>
        </w:rPr>
        <w:t xml:space="preserve"> political and</w:t>
      </w:r>
      <w:r w:rsidR="00BD69C5">
        <w:rPr>
          <w:rFonts w:ascii="Times New Roman" w:hAnsi="Times New Roman"/>
          <w:lang w:val="en-US"/>
        </w:rPr>
        <w:t xml:space="preserve"> social groups often</w:t>
      </w:r>
      <w:r w:rsidR="00F259E7">
        <w:rPr>
          <w:rFonts w:ascii="Times New Roman" w:hAnsi="Times New Roman"/>
          <w:lang w:val="en-US"/>
        </w:rPr>
        <w:t xml:space="preserve"> explain their work in scientific terms</w:t>
      </w:r>
      <w:r w:rsidR="00BD69C5">
        <w:rPr>
          <w:rFonts w:ascii="Times New Roman" w:hAnsi="Times New Roman"/>
          <w:lang w:val="en-US"/>
        </w:rPr>
        <w:t xml:space="preserve"> in order to produce counter-evidence and</w:t>
      </w:r>
      <w:r w:rsidR="00C26B77">
        <w:rPr>
          <w:rFonts w:ascii="Times New Roman" w:hAnsi="Times New Roman"/>
          <w:lang w:val="en-US"/>
        </w:rPr>
        <w:t>, by doing so, they</w:t>
      </w:r>
      <w:r w:rsidR="00BD69C5">
        <w:rPr>
          <w:rFonts w:ascii="Times New Roman" w:hAnsi="Times New Roman"/>
          <w:lang w:val="en-US"/>
        </w:rPr>
        <w:t xml:space="preserve"> turn science and regulation into the grammar of power over bio</w:t>
      </w:r>
      <w:r w:rsidR="00C26B77">
        <w:rPr>
          <w:rFonts w:ascii="Times New Roman" w:hAnsi="Times New Roman"/>
          <w:lang w:val="en-US"/>
        </w:rPr>
        <w:t xml:space="preserve">technology developments. </w:t>
      </w:r>
    </w:p>
    <w:p w:rsidR="00802D70" w:rsidRPr="002B42DE" w:rsidRDefault="00802D70" w:rsidP="00E97AF5">
      <w:pPr>
        <w:spacing w:after="0" w:line="360" w:lineRule="auto"/>
        <w:jc w:val="both"/>
        <w:rPr>
          <w:rFonts w:ascii="Times New Roman" w:hAnsi="Times New Roman"/>
          <w:lang w:val="en-US"/>
        </w:rPr>
      </w:pPr>
    </w:p>
    <w:p w:rsidR="00802D70" w:rsidRPr="00C26B77" w:rsidRDefault="00D32C0D" w:rsidP="00E97AF5">
      <w:pPr>
        <w:spacing w:after="0" w:line="360" w:lineRule="auto"/>
        <w:jc w:val="both"/>
        <w:rPr>
          <w:rFonts w:ascii="Times New Roman" w:hAnsi="Times New Roman"/>
          <w:b/>
          <w:lang w:val="en-US"/>
        </w:rPr>
      </w:pPr>
      <w:r w:rsidRPr="00C26B77">
        <w:rPr>
          <w:rFonts w:ascii="Times New Roman" w:hAnsi="Times New Roman"/>
          <w:b/>
          <w:lang w:val="en-US"/>
        </w:rPr>
        <w:t>Contributions to this Special Issue</w:t>
      </w:r>
    </w:p>
    <w:p w:rsidR="00802D70" w:rsidRPr="002B42DE" w:rsidRDefault="00802D70" w:rsidP="00E97AF5">
      <w:pPr>
        <w:spacing w:after="0" w:line="360" w:lineRule="auto"/>
        <w:jc w:val="both"/>
        <w:rPr>
          <w:rFonts w:ascii="Times New Roman" w:hAnsi="Times New Roman"/>
          <w:lang w:val="en-US"/>
        </w:rPr>
      </w:pPr>
    </w:p>
    <w:p w:rsidR="00802D70" w:rsidRPr="002B42DE" w:rsidRDefault="00D32C0D" w:rsidP="00E97AF5">
      <w:pPr>
        <w:spacing w:after="0" w:line="360" w:lineRule="auto"/>
        <w:jc w:val="both"/>
        <w:rPr>
          <w:rFonts w:ascii="Times New Roman" w:hAnsi="Times New Roman"/>
          <w:lang w:val="en-US"/>
        </w:rPr>
      </w:pPr>
      <w:r w:rsidRPr="002B42DE">
        <w:rPr>
          <w:rFonts w:ascii="Times New Roman" w:hAnsi="Times New Roman"/>
          <w:lang w:val="en-US"/>
        </w:rPr>
        <w:t>The first paper immediately opens the d</w:t>
      </w:r>
      <w:r>
        <w:rPr>
          <w:rFonts w:ascii="Times New Roman" w:hAnsi="Times New Roman"/>
          <w:lang w:val="en-US"/>
        </w:rPr>
        <w:t>ebate with a</w:t>
      </w:r>
      <w:r w:rsidRPr="002B42DE">
        <w:rPr>
          <w:rFonts w:ascii="Times New Roman" w:hAnsi="Times New Roman"/>
          <w:lang w:val="en-US"/>
        </w:rPr>
        <w:t xml:space="preserve"> troubling issue: the </w:t>
      </w:r>
      <w:r>
        <w:rPr>
          <w:rFonts w:ascii="Times New Roman" w:hAnsi="Times New Roman"/>
          <w:lang w:val="en-US"/>
        </w:rPr>
        <w:t>intensive</w:t>
      </w:r>
      <w:r w:rsidRPr="002B42DE">
        <w:rPr>
          <w:rFonts w:ascii="Times New Roman" w:hAnsi="Times New Roman"/>
          <w:lang w:val="en-US"/>
        </w:rPr>
        <w:t xml:space="preserve"> use of herbicides </w:t>
      </w:r>
      <w:r>
        <w:rPr>
          <w:rFonts w:ascii="Times New Roman" w:hAnsi="Times New Roman"/>
          <w:lang w:val="en-US"/>
        </w:rPr>
        <w:t>due to the spread of glyphosate-</w:t>
      </w:r>
      <w:r w:rsidRPr="002B42DE">
        <w:rPr>
          <w:rFonts w:ascii="Times New Roman" w:hAnsi="Times New Roman"/>
          <w:lang w:val="en-US"/>
        </w:rPr>
        <w:t xml:space="preserve">tolerant soy </w:t>
      </w:r>
      <w:r>
        <w:rPr>
          <w:rFonts w:ascii="Times New Roman" w:hAnsi="Times New Roman"/>
          <w:lang w:val="en-US"/>
        </w:rPr>
        <w:t>crops</w:t>
      </w:r>
      <w:r w:rsidRPr="002B42DE">
        <w:rPr>
          <w:rFonts w:ascii="Times New Roman" w:hAnsi="Times New Roman"/>
          <w:lang w:val="en-US"/>
        </w:rPr>
        <w:t xml:space="preserve"> in Argentina. </w:t>
      </w:r>
      <w:r w:rsidRPr="002B42DE">
        <w:rPr>
          <w:rFonts w:ascii="Times New Roman" w:hAnsi="Times New Roman"/>
          <w:b/>
          <w:lang w:val="en-US"/>
        </w:rPr>
        <w:t>Florencia</w:t>
      </w:r>
      <w:r w:rsidRPr="002B42DE">
        <w:rPr>
          <w:rFonts w:ascii="Times New Roman" w:hAnsi="Times New Roman"/>
          <w:lang w:val="en-US"/>
        </w:rPr>
        <w:t xml:space="preserve"> </w:t>
      </w:r>
      <w:r w:rsidRPr="002B42DE">
        <w:rPr>
          <w:rFonts w:ascii="Times New Roman" w:hAnsi="Times New Roman"/>
          <w:b/>
          <w:lang w:val="en-US"/>
        </w:rPr>
        <w:t>Arancibia</w:t>
      </w:r>
      <w:r w:rsidRPr="002B42DE">
        <w:rPr>
          <w:rFonts w:ascii="Times New Roman" w:hAnsi="Times New Roman"/>
          <w:lang w:val="en-US"/>
        </w:rPr>
        <w:t>'s study starts from the smallest possible scale in our Issue:</w:t>
      </w:r>
      <w:r>
        <w:rPr>
          <w:rFonts w:ascii="Times New Roman" w:hAnsi="Times New Roman"/>
          <w:lang w:val="en-US"/>
        </w:rPr>
        <w:t xml:space="preserve"> a number of individuals in Ituzaingó</w:t>
      </w:r>
      <w:r w:rsidRPr="002B42DE">
        <w:rPr>
          <w:rFonts w:ascii="Times New Roman" w:hAnsi="Times New Roman"/>
          <w:lang w:val="en-US"/>
        </w:rPr>
        <w:t>, a village in the immediate vicinity of large areas fields of soy cultivation. GM technology becomes tangible through the phenomenology of worried individuals, immediately exposed to soy fields, planted with bioengineered glyphosate-resistant crops, and the airplanes that spray them with herbicides. What worries these people is that the increased spraying activities seem to go on a par with increasing morbidity rates</w:t>
      </w:r>
      <w:r w:rsidR="00B12264">
        <w:rPr>
          <w:rFonts w:ascii="Times New Roman" w:hAnsi="Times New Roman"/>
          <w:lang w:val="en-US"/>
        </w:rPr>
        <w:t xml:space="preserve"> in</w:t>
      </w:r>
      <w:r w:rsidRPr="002B42DE">
        <w:rPr>
          <w:rFonts w:ascii="Times New Roman" w:hAnsi="Times New Roman"/>
          <w:lang w:val="en-US"/>
        </w:rPr>
        <w:t xml:space="preserve"> the village. The paper develops a rich account of how a local observation is turned into a public health issue. Firstly, it becomes clear that an enormous amount of work and allies are required to push the </w:t>
      </w:r>
      <w:r w:rsidR="00C778E8">
        <w:rPr>
          <w:rFonts w:ascii="Times New Roman" w:hAnsi="Times New Roman"/>
          <w:lang w:val="en-US"/>
        </w:rPr>
        <w:t>problem into the public arena</w:t>
      </w:r>
      <w:r w:rsidRPr="002B42DE">
        <w:rPr>
          <w:rFonts w:ascii="Times New Roman" w:hAnsi="Times New Roman"/>
          <w:lang w:val="en-US"/>
        </w:rPr>
        <w:t xml:space="preserve">, with uninterrupted effort during 10 years. A movement emerges named after the first village mothers that started </w:t>
      </w:r>
      <w:r w:rsidR="00DE2C9E">
        <w:rPr>
          <w:rFonts w:ascii="Times New Roman" w:hAnsi="Times New Roman"/>
          <w:lang w:val="en-US"/>
        </w:rPr>
        <w:t>to worry about their children’</w:t>
      </w:r>
      <w:r w:rsidRPr="002B42DE">
        <w:rPr>
          <w:rFonts w:ascii="Times New Roman" w:hAnsi="Times New Roman"/>
          <w:lang w:val="en-US"/>
        </w:rPr>
        <w:t xml:space="preserve">s health and future: the </w:t>
      </w:r>
      <w:r>
        <w:rPr>
          <w:rFonts w:ascii="Times New Roman" w:hAnsi="Times New Roman"/>
          <w:i/>
          <w:lang w:val="en-US"/>
        </w:rPr>
        <w:t>Madres de Ituzaingó</w:t>
      </w:r>
      <w:r w:rsidRPr="002B42DE">
        <w:rPr>
          <w:rFonts w:ascii="Times New Roman" w:hAnsi="Times New Roman"/>
          <w:i/>
          <w:lang w:val="en-US"/>
        </w:rPr>
        <w:t>.</w:t>
      </w:r>
      <w:r w:rsidRPr="002B42DE">
        <w:rPr>
          <w:rFonts w:ascii="Times New Roman" w:hAnsi="Times New Roman"/>
          <w:lang w:val="en-US"/>
        </w:rPr>
        <w:t xml:space="preserve"> The study shows that ethical, social or environmental claims are not enough to convince the authorities that there is indeed </w:t>
      </w:r>
      <w:r w:rsidR="00E205E9">
        <w:rPr>
          <w:rFonts w:ascii="Times New Roman" w:hAnsi="Times New Roman"/>
          <w:lang w:val="en-US"/>
        </w:rPr>
        <w:t>a problem</w:t>
      </w:r>
      <w:r w:rsidR="00DE2C9E">
        <w:rPr>
          <w:rFonts w:ascii="Times New Roman" w:hAnsi="Times New Roman"/>
          <w:lang w:val="en-US"/>
        </w:rPr>
        <w:t>. This brings us to the paper’</w:t>
      </w:r>
      <w:r w:rsidRPr="002B42DE">
        <w:rPr>
          <w:rFonts w:ascii="Times New Roman" w:hAnsi="Times New Roman"/>
          <w:lang w:val="en-US"/>
        </w:rPr>
        <w:t xml:space="preserve">s second contribution to our Issue. As the title suggests, we </w:t>
      </w:r>
      <w:r w:rsidR="00E205E9">
        <w:rPr>
          <w:rFonts w:ascii="Times New Roman" w:hAnsi="Times New Roman"/>
          <w:lang w:val="en-US"/>
        </w:rPr>
        <w:t>have</w:t>
      </w:r>
      <w:r w:rsidR="00E205E9" w:rsidRPr="002B42DE">
        <w:rPr>
          <w:rFonts w:ascii="Times New Roman" w:hAnsi="Times New Roman"/>
          <w:lang w:val="en-US"/>
        </w:rPr>
        <w:t xml:space="preserve"> </w:t>
      </w:r>
      <w:r w:rsidRPr="002B42DE">
        <w:rPr>
          <w:rFonts w:ascii="Times New Roman" w:hAnsi="Times New Roman"/>
          <w:lang w:val="en-US"/>
        </w:rPr>
        <w:t xml:space="preserve">an interesting case study on the dynamics of collective action in challenging the bioeconomy. Throughout the years, the </w:t>
      </w:r>
      <w:r w:rsidRPr="00760946">
        <w:rPr>
          <w:rFonts w:ascii="Times New Roman" w:hAnsi="Times New Roman"/>
          <w:i/>
          <w:lang w:val="en-US"/>
        </w:rPr>
        <w:t>Madres</w:t>
      </w:r>
      <w:r w:rsidRPr="002B42DE">
        <w:rPr>
          <w:rFonts w:ascii="Times New Roman" w:hAnsi="Times New Roman"/>
          <w:lang w:val="en-US"/>
        </w:rPr>
        <w:t xml:space="preserve">, helped by local </w:t>
      </w:r>
      <w:r w:rsidR="00DE2C9E">
        <w:rPr>
          <w:rFonts w:ascii="Times New Roman" w:hAnsi="Times New Roman"/>
          <w:lang w:val="en-US"/>
        </w:rPr>
        <w:t>scientists</w:t>
      </w:r>
      <w:r w:rsidRPr="002B42DE">
        <w:rPr>
          <w:rFonts w:ascii="Times New Roman" w:hAnsi="Times New Roman"/>
          <w:lang w:val="en-US"/>
        </w:rPr>
        <w:t xml:space="preserve"> and by human rights lawyers, developed their science-claims in terms of a popular epidemiology. The language of statistics is required to gradually gain credibility and support from within academic and public institutions. Challenging biotechnology requires the </w:t>
      </w:r>
      <w:r w:rsidRPr="00760946">
        <w:rPr>
          <w:rFonts w:ascii="Times New Roman" w:hAnsi="Times New Roman"/>
          <w:i/>
          <w:lang w:val="en-US"/>
        </w:rPr>
        <w:t>Madres</w:t>
      </w:r>
      <w:r w:rsidRPr="002B42DE">
        <w:rPr>
          <w:rFonts w:ascii="Times New Roman" w:hAnsi="Times New Roman"/>
          <w:lang w:val="en-US"/>
        </w:rPr>
        <w:t xml:space="preserve"> enlarge the repertoire of contestation, such as demonstrations and road blockages, to the production of counter-evidence. </w:t>
      </w:r>
    </w:p>
    <w:p w:rsidR="00802D70" w:rsidRPr="002B42DE" w:rsidRDefault="00802D70" w:rsidP="00E97AF5">
      <w:pPr>
        <w:spacing w:after="0" w:line="360" w:lineRule="auto"/>
        <w:jc w:val="both"/>
        <w:rPr>
          <w:rFonts w:ascii="Times New Roman" w:hAnsi="Times New Roman"/>
          <w:lang w:val="en-US"/>
        </w:rPr>
      </w:pPr>
    </w:p>
    <w:p w:rsidR="00802D70" w:rsidRDefault="00E205E9" w:rsidP="00E97AF5">
      <w:pPr>
        <w:spacing w:after="0" w:line="360" w:lineRule="auto"/>
        <w:jc w:val="both"/>
        <w:rPr>
          <w:rFonts w:ascii="Times New Roman" w:hAnsi="Times New Roman"/>
          <w:lang w:val="en-US"/>
        </w:rPr>
      </w:pPr>
      <w:r>
        <w:rPr>
          <w:rFonts w:ascii="Times New Roman" w:hAnsi="Times New Roman"/>
          <w:lang w:val="en-US"/>
        </w:rPr>
        <w:t>The first paper</w:t>
      </w:r>
      <w:r w:rsidR="00D32C0D" w:rsidRPr="002B42DE">
        <w:rPr>
          <w:rFonts w:ascii="Times New Roman" w:hAnsi="Times New Roman"/>
          <w:lang w:val="en-US"/>
        </w:rPr>
        <w:t xml:space="preserve"> </w:t>
      </w:r>
      <w:r>
        <w:rPr>
          <w:rFonts w:ascii="Times New Roman" w:hAnsi="Times New Roman"/>
          <w:lang w:val="en-US"/>
        </w:rPr>
        <w:t>identifies the language and actions</w:t>
      </w:r>
      <w:r w:rsidR="00D32C0D" w:rsidRPr="002B42DE">
        <w:rPr>
          <w:rFonts w:ascii="Times New Roman" w:hAnsi="Times New Roman"/>
          <w:lang w:val="en-US"/>
        </w:rPr>
        <w:t xml:space="preserve"> </w:t>
      </w:r>
      <w:r>
        <w:rPr>
          <w:rFonts w:ascii="Times New Roman" w:hAnsi="Times New Roman"/>
          <w:lang w:val="en-US"/>
        </w:rPr>
        <w:t>through which</w:t>
      </w:r>
      <w:r w:rsidR="00D32C0D" w:rsidRPr="002B42DE">
        <w:rPr>
          <w:rFonts w:ascii="Times New Roman" w:hAnsi="Times New Roman"/>
          <w:lang w:val="en-US"/>
        </w:rPr>
        <w:t xml:space="preserve"> bioeconomy can be challenged</w:t>
      </w:r>
      <w:r>
        <w:rPr>
          <w:rFonts w:ascii="Times New Roman" w:hAnsi="Times New Roman"/>
          <w:lang w:val="en-US"/>
        </w:rPr>
        <w:t xml:space="preserve"> and the</w:t>
      </w:r>
      <w:r w:rsidR="00D32C0D" w:rsidRPr="002B42DE">
        <w:rPr>
          <w:rFonts w:ascii="Times New Roman" w:hAnsi="Times New Roman"/>
          <w:lang w:val="en-US"/>
        </w:rPr>
        <w:t xml:space="preserve"> second paper continues to question the language and epistemology related to the bioeconomy. </w:t>
      </w:r>
      <w:r w:rsidR="00D32C0D" w:rsidRPr="002B42DE">
        <w:rPr>
          <w:rFonts w:ascii="Times New Roman" w:hAnsi="Times New Roman"/>
          <w:b/>
          <w:lang w:val="en-US"/>
        </w:rPr>
        <w:t>Manuel Tironi</w:t>
      </w:r>
      <w:r w:rsidR="00B474D1">
        <w:rPr>
          <w:rFonts w:ascii="Times New Roman" w:hAnsi="Times New Roman"/>
          <w:b/>
          <w:lang w:val="en-US"/>
        </w:rPr>
        <w:t>, Maite Salazar and Daniel Valenzuela</w:t>
      </w:r>
      <w:r w:rsidR="00B474D1">
        <w:rPr>
          <w:rFonts w:ascii="Times New Roman" w:hAnsi="Times New Roman"/>
          <w:lang w:val="en-US"/>
        </w:rPr>
        <w:t xml:space="preserve"> look at how Chile’</w:t>
      </w:r>
      <w:r w:rsidR="00C3415B">
        <w:rPr>
          <w:rFonts w:ascii="Times New Roman" w:hAnsi="Times New Roman"/>
          <w:lang w:val="en-US"/>
        </w:rPr>
        <w:t>s most important farmers’</w:t>
      </w:r>
      <w:r w:rsidR="00D32C0D" w:rsidRPr="002B42DE">
        <w:rPr>
          <w:rFonts w:ascii="Times New Roman" w:hAnsi="Times New Roman"/>
          <w:lang w:val="en-US"/>
        </w:rPr>
        <w:t xml:space="preserve"> organizations picture GMOs as objects and how the economic market of GMO crops should be regulate</w:t>
      </w:r>
      <w:r w:rsidR="00C3415B">
        <w:rPr>
          <w:rFonts w:ascii="Times New Roman" w:hAnsi="Times New Roman"/>
          <w:lang w:val="en-US"/>
        </w:rPr>
        <w:t xml:space="preserve">d. From the first pages, </w:t>
      </w:r>
      <w:r w:rsidR="00C87C0C">
        <w:rPr>
          <w:rFonts w:ascii="Times New Roman" w:hAnsi="Times New Roman"/>
          <w:lang w:val="en-US"/>
        </w:rPr>
        <w:t>the</w:t>
      </w:r>
      <w:r w:rsidR="00D32C0D" w:rsidRPr="002B42DE">
        <w:rPr>
          <w:rFonts w:ascii="Times New Roman" w:hAnsi="Times New Roman"/>
          <w:lang w:val="en-US"/>
        </w:rPr>
        <w:t xml:space="preserve"> study challenges the stereotype of the radical a</w:t>
      </w:r>
      <w:r w:rsidR="00C87C0C">
        <w:rPr>
          <w:rFonts w:ascii="Times New Roman" w:hAnsi="Times New Roman"/>
          <w:lang w:val="en-US"/>
        </w:rPr>
        <w:t xml:space="preserve">ctivist Latin American farmers </w:t>
      </w:r>
      <w:r w:rsidR="00C87C0C">
        <w:rPr>
          <w:rFonts w:ascii="Times New Roman" w:hAnsi="Times New Roman"/>
          <w:lang w:val="en-US"/>
        </w:rPr>
        <w:softHyphen/>
        <w:t>—</w:t>
      </w:r>
      <w:r w:rsidR="00D32C0D" w:rsidRPr="002B42DE">
        <w:rPr>
          <w:rFonts w:ascii="Times New Roman" w:hAnsi="Times New Roman"/>
          <w:lang w:val="en-US"/>
        </w:rPr>
        <w:t xml:space="preserve"> an unwarranted generalization of the Brazilian </w:t>
      </w:r>
      <w:r w:rsidR="00D32C0D" w:rsidRPr="00C87C0C">
        <w:rPr>
          <w:rFonts w:ascii="Times New Roman" w:hAnsi="Times New Roman"/>
          <w:i/>
          <w:lang w:val="en-US"/>
        </w:rPr>
        <w:t>Movimento Sem Terra</w:t>
      </w:r>
      <w:r w:rsidR="00C87C0C">
        <w:rPr>
          <w:rFonts w:ascii="Times New Roman" w:hAnsi="Times New Roman"/>
          <w:lang w:val="en-US"/>
        </w:rPr>
        <w:t>. Applying Jasanoff’</w:t>
      </w:r>
      <w:r w:rsidR="00D32C0D" w:rsidRPr="002B42DE">
        <w:rPr>
          <w:rFonts w:ascii="Times New Roman" w:hAnsi="Times New Roman"/>
          <w:lang w:val="en-US"/>
        </w:rPr>
        <w:t xml:space="preserve">s concept of civic epistemology to subnational public, he demonstrates through rich empirical material that Chilean farmer representatives </w:t>
      </w:r>
      <w:r>
        <w:rPr>
          <w:rFonts w:ascii="Times New Roman" w:hAnsi="Times New Roman"/>
          <w:lang w:val="en-US"/>
        </w:rPr>
        <w:t>have</w:t>
      </w:r>
      <w:r w:rsidR="00D32C0D" w:rsidRPr="002B42DE">
        <w:rPr>
          <w:rFonts w:ascii="Times New Roman" w:hAnsi="Times New Roman"/>
          <w:lang w:val="en-US"/>
        </w:rPr>
        <w:t xml:space="preserve"> conflicting frames and notions about what GMOs are and how they should by managed. Tironi</w:t>
      </w:r>
      <w:r w:rsidR="00707D0C">
        <w:rPr>
          <w:rFonts w:ascii="Times New Roman" w:hAnsi="Times New Roman"/>
          <w:lang w:val="en-US"/>
        </w:rPr>
        <w:t xml:space="preserve"> et al. show</w:t>
      </w:r>
      <w:r w:rsidR="00D32C0D" w:rsidRPr="002B42DE">
        <w:rPr>
          <w:rFonts w:ascii="Times New Roman" w:hAnsi="Times New Roman"/>
          <w:lang w:val="en-US"/>
        </w:rPr>
        <w:t xml:space="preserve"> that GMOs are framed as an economic, political and scientific object respectively, and that each framing is underpinned by a different epistemology tha</w:t>
      </w:r>
      <w:r w:rsidR="00640F79">
        <w:rPr>
          <w:rFonts w:ascii="Times New Roman" w:hAnsi="Times New Roman"/>
          <w:lang w:val="en-US"/>
        </w:rPr>
        <w:t>t either contests or fosters</w:t>
      </w:r>
      <w:r w:rsidR="00D32C0D" w:rsidRPr="002B42DE">
        <w:rPr>
          <w:rFonts w:ascii="Times New Roman" w:hAnsi="Times New Roman"/>
          <w:lang w:val="en-US"/>
        </w:rPr>
        <w:t xml:space="preserve"> bioeconomy and neoliberalism. This leads the author</w:t>
      </w:r>
      <w:r w:rsidR="001A417D">
        <w:rPr>
          <w:rFonts w:ascii="Times New Roman" w:hAnsi="Times New Roman"/>
          <w:lang w:val="en-US"/>
        </w:rPr>
        <w:t>s</w:t>
      </w:r>
      <w:r w:rsidR="00D32C0D" w:rsidRPr="002B42DE">
        <w:rPr>
          <w:rFonts w:ascii="Times New Roman" w:hAnsi="Times New Roman"/>
          <w:lang w:val="en-US"/>
        </w:rPr>
        <w:t xml:space="preserve"> to consider that civic epistemologies can be described as hybrid, rath</w:t>
      </w:r>
      <w:r w:rsidR="00537195">
        <w:rPr>
          <w:rFonts w:ascii="Times New Roman" w:hAnsi="Times New Roman"/>
          <w:lang w:val="en-US"/>
        </w:rPr>
        <w:t>er than in terms of a national ‘style’</w:t>
      </w:r>
      <w:r w:rsidR="00D32C0D" w:rsidRPr="002B42DE">
        <w:rPr>
          <w:rFonts w:ascii="Times New Roman" w:hAnsi="Times New Roman"/>
          <w:lang w:val="en-US"/>
        </w:rPr>
        <w:t xml:space="preserve">. </w:t>
      </w:r>
    </w:p>
    <w:p w:rsidR="00537195" w:rsidRDefault="00537195" w:rsidP="00E97AF5">
      <w:pPr>
        <w:spacing w:after="0" w:line="360" w:lineRule="auto"/>
        <w:jc w:val="both"/>
        <w:rPr>
          <w:rFonts w:ascii="Times New Roman" w:hAnsi="Times New Roman"/>
          <w:b/>
        </w:rPr>
      </w:pPr>
    </w:p>
    <w:p w:rsidR="00802D70" w:rsidRDefault="00D32C0D" w:rsidP="00E97AF5">
      <w:pPr>
        <w:spacing w:after="0" w:line="360" w:lineRule="auto"/>
        <w:jc w:val="both"/>
        <w:rPr>
          <w:rFonts w:ascii="Times New Roman" w:hAnsi="Times New Roman"/>
          <w:lang w:val="en-US"/>
        </w:rPr>
      </w:pPr>
      <w:r w:rsidRPr="001A417D">
        <w:rPr>
          <w:rFonts w:ascii="Times New Roman" w:hAnsi="Times New Roman"/>
          <w:b/>
          <w:lang w:val="en-US"/>
        </w:rPr>
        <w:t>Patrick van Zwanenberg and Valeria Arza</w:t>
      </w:r>
      <w:r w:rsidRPr="001A417D">
        <w:rPr>
          <w:rFonts w:ascii="Times New Roman" w:hAnsi="Times New Roman"/>
          <w:lang w:val="en-US"/>
        </w:rPr>
        <w:t xml:space="preserve"> take us to Argentina again, and move us from the previous article, questioning how farmers </w:t>
      </w:r>
      <w:r w:rsidRPr="001A417D">
        <w:rPr>
          <w:rFonts w:ascii="Times New Roman" w:hAnsi="Times New Roman"/>
          <w:i/>
          <w:lang w:val="en-US"/>
        </w:rPr>
        <w:t>frame</w:t>
      </w:r>
      <w:r w:rsidRPr="001A417D">
        <w:rPr>
          <w:rFonts w:ascii="Times New Roman" w:hAnsi="Times New Roman"/>
          <w:lang w:val="en-US"/>
        </w:rPr>
        <w:t xml:space="preserve"> GMOs, to an analysis of the different faces of GM technology </w:t>
      </w:r>
      <w:r w:rsidRPr="009C2D6D">
        <w:rPr>
          <w:rFonts w:ascii="Times New Roman" w:hAnsi="Times New Roman"/>
          <w:lang w:val="en-US"/>
        </w:rPr>
        <w:t>itself.</w:t>
      </w:r>
      <w:r w:rsidRPr="001A417D">
        <w:rPr>
          <w:rFonts w:ascii="Times New Roman" w:hAnsi="Times New Roman"/>
          <w:lang w:val="en-US"/>
        </w:rPr>
        <w:t xml:space="preserve"> Comparing large and small cotton production farms, the authors o</w:t>
      </w:r>
      <w:r w:rsidR="009C2D6D">
        <w:rPr>
          <w:rFonts w:ascii="Times New Roman" w:hAnsi="Times New Roman"/>
          <w:lang w:val="en-US"/>
        </w:rPr>
        <w:t>bserve that GM technology doesn’t ‘work’</w:t>
      </w:r>
      <w:r w:rsidRPr="001A417D">
        <w:rPr>
          <w:rFonts w:ascii="Times New Roman" w:hAnsi="Times New Roman"/>
          <w:lang w:val="en-US"/>
        </w:rPr>
        <w:t xml:space="preserve"> and deliver its promises to small farmers. The k</w:t>
      </w:r>
      <w:r w:rsidR="009C2D6D">
        <w:rPr>
          <w:rFonts w:ascii="Times New Roman" w:hAnsi="Times New Roman"/>
          <w:lang w:val="en-US"/>
        </w:rPr>
        <w:t>ey to understand</w:t>
      </w:r>
      <w:r w:rsidR="00E205E9">
        <w:rPr>
          <w:rFonts w:ascii="Times New Roman" w:hAnsi="Times New Roman"/>
          <w:lang w:val="en-US"/>
        </w:rPr>
        <w:t>ing</w:t>
      </w:r>
      <w:r w:rsidR="009C2D6D">
        <w:rPr>
          <w:rFonts w:ascii="Times New Roman" w:hAnsi="Times New Roman"/>
          <w:lang w:val="en-US"/>
        </w:rPr>
        <w:t xml:space="preserve"> this asymmetry</w:t>
      </w:r>
      <w:r w:rsidRPr="001A417D">
        <w:rPr>
          <w:rFonts w:ascii="Times New Roman" w:hAnsi="Times New Roman"/>
          <w:lang w:val="en-US"/>
        </w:rPr>
        <w:t xml:space="preserve"> is to consider GM technology as a variable </w:t>
      </w:r>
      <w:r w:rsidRPr="001A417D">
        <w:rPr>
          <w:rFonts w:ascii="Times New Roman" w:hAnsi="Times New Roman"/>
          <w:i/>
          <w:lang w:val="en-US"/>
        </w:rPr>
        <w:t>configuration</w:t>
      </w:r>
      <w:r w:rsidRPr="001A417D">
        <w:rPr>
          <w:rFonts w:ascii="Times New Roman" w:hAnsi="Times New Roman"/>
          <w:lang w:val="en-US"/>
        </w:rPr>
        <w:t>, rather than a stable object or a technique that can be applied in the same manner everywhere. Con</w:t>
      </w:r>
      <w:r w:rsidR="003C5029">
        <w:rPr>
          <w:rFonts w:ascii="Times New Roman" w:hAnsi="Times New Roman"/>
          <w:lang w:val="en-US"/>
        </w:rPr>
        <w:t xml:space="preserve">sidering a specific technology — in this case GM cotton plants </w:t>
      </w:r>
      <w:r w:rsidR="003C5029">
        <w:rPr>
          <w:rFonts w:ascii="Times New Roman" w:hAnsi="Times New Roman"/>
          <w:i/>
          <w:lang w:val="en-US"/>
        </w:rPr>
        <w:t>—</w:t>
      </w:r>
      <w:r w:rsidRPr="001A417D">
        <w:rPr>
          <w:rFonts w:ascii="Times New Roman" w:hAnsi="Times New Roman"/>
          <w:lang w:val="en-US"/>
        </w:rPr>
        <w:t xml:space="preserve"> as a </w:t>
      </w:r>
      <w:r w:rsidRPr="003C5029">
        <w:rPr>
          <w:rFonts w:ascii="Times New Roman" w:hAnsi="Times New Roman"/>
          <w:i/>
          <w:lang w:val="en-US"/>
        </w:rPr>
        <w:t>configuration</w:t>
      </w:r>
      <w:r w:rsidRPr="001A417D">
        <w:rPr>
          <w:rFonts w:ascii="Times New Roman" w:hAnsi="Times New Roman"/>
          <w:lang w:val="en-US"/>
        </w:rPr>
        <w:t xml:space="preserve"> makes the relations</w:t>
      </w:r>
      <w:r w:rsidR="00E205E9">
        <w:rPr>
          <w:rFonts w:ascii="Times New Roman" w:hAnsi="Times New Roman"/>
          <w:lang w:val="en-US"/>
        </w:rPr>
        <w:t>hip</w:t>
      </w:r>
      <w:r w:rsidRPr="001A417D">
        <w:rPr>
          <w:rFonts w:ascii="Times New Roman" w:hAnsi="Times New Roman"/>
          <w:lang w:val="en-US"/>
        </w:rPr>
        <w:t xml:space="preserve"> between technology and its conditions of use and implementation visible. </w:t>
      </w:r>
      <w:r w:rsidR="00E205E9">
        <w:rPr>
          <w:rFonts w:ascii="Times New Roman" w:hAnsi="Times New Roman"/>
          <w:lang w:val="en-US"/>
        </w:rPr>
        <w:t>In other words,</w:t>
      </w:r>
      <w:r w:rsidRPr="001A417D">
        <w:rPr>
          <w:rFonts w:ascii="Times New Roman" w:hAnsi="Times New Roman"/>
          <w:lang w:val="en-US"/>
        </w:rPr>
        <w:t xml:space="preserve"> technological configurations work out very differently in the distinct production systems of small versus large farmers.</w:t>
      </w:r>
      <w:bookmarkStart w:id="0" w:name="_GoBack"/>
      <w:bookmarkEnd w:id="0"/>
      <w:r w:rsidR="00EF0B77">
        <w:rPr>
          <w:rFonts w:ascii="Times New Roman" w:hAnsi="Times New Roman"/>
          <w:lang w:val="en-US"/>
        </w:rPr>
        <w:t xml:space="preserve"> </w:t>
      </w:r>
      <w:r w:rsidRPr="001A417D">
        <w:rPr>
          <w:rFonts w:ascii="Times New Roman" w:hAnsi="Times New Roman"/>
          <w:lang w:val="en-US"/>
        </w:rPr>
        <w:t>Even the na</w:t>
      </w:r>
      <w:r w:rsidR="00067E16">
        <w:rPr>
          <w:rFonts w:ascii="Times New Roman" w:hAnsi="Times New Roman"/>
          <w:lang w:val="en-US"/>
        </w:rPr>
        <w:t xml:space="preserve">ture of the GM artifact itself </w:t>
      </w:r>
      <w:r w:rsidR="00067E16">
        <w:rPr>
          <w:rFonts w:ascii="Times New Roman" w:hAnsi="Times New Roman"/>
          <w:lang w:val="en-US"/>
        </w:rPr>
        <w:softHyphen/>
        <w:t>— the cottonseed —</w:t>
      </w:r>
      <w:r w:rsidRPr="001A417D">
        <w:rPr>
          <w:rFonts w:ascii="Times New Roman" w:hAnsi="Times New Roman"/>
          <w:lang w:val="en-US"/>
        </w:rPr>
        <w:t xml:space="preserve"> changes through different contexts. Drawing on the tradition of science and technology studies and in-depth field work, the authors make the strong and important claim tha</w:t>
      </w:r>
      <w:r w:rsidR="00BC15FD">
        <w:rPr>
          <w:rFonts w:ascii="Times New Roman" w:hAnsi="Times New Roman"/>
          <w:lang w:val="en-US"/>
        </w:rPr>
        <w:t>t the characteristics of farmer’</w:t>
      </w:r>
      <w:r w:rsidRPr="001A417D">
        <w:rPr>
          <w:rFonts w:ascii="Times New Roman" w:hAnsi="Times New Roman"/>
          <w:lang w:val="en-US"/>
        </w:rPr>
        <w:t>s production systems, such as access to capital, agricultural machinery and loc</w:t>
      </w:r>
      <w:r w:rsidR="00BC15FD">
        <w:rPr>
          <w:rFonts w:ascii="Times New Roman" w:hAnsi="Times New Roman"/>
          <w:lang w:val="en-US"/>
        </w:rPr>
        <w:t>al seed input markets, are not ‘external factors’</w:t>
      </w:r>
      <w:r w:rsidRPr="001A417D">
        <w:rPr>
          <w:rFonts w:ascii="Times New Roman" w:hAnsi="Times New Roman"/>
          <w:lang w:val="en-US"/>
        </w:rPr>
        <w:t xml:space="preserve"> to an otherwise stable technology, but an inherent part of a technological configuration as it comes into being in concrete situations. Recognizing the intimate entanglement of the social and the technological has the merit of opening the way for more articulate diagnoses of occurring problems, and the design of policies to support small farmers. </w:t>
      </w:r>
    </w:p>
    <w:p w:rsidR="00BC15FD" w:rsidRPr="001A417D" w:rsidRDefault="00BC15FD" w:rsidP="00E97AF5">
      <w:pPr>
        <w:spacing w:after="0" w:line="360" w:lineRule="auto"/>
        <w:jc w:val="both"/>
        <w:rPr>
          <w:rFonts w:ascii="Times New Roman" w:hAnsi="Times New Roman"/>
          <w:lang w:val="en-US"/>
        </w:rPr>
      </w:pPr>
    </w:p>
    <w:p w:rsidR="00802D70" w:rsidRPr="001A417D" w:rsidRDefault="00D32C0D" w:rsidP="00E97AF5">
      <w:pPr>
        <w:spacing w:after="0" w:line="360" w:lineRule="auto"/>
        <w:jc w:val="both"/>
        <w:rPr>
          <w:rFonts w:ascii="Times New Roman" w:hAnsi="Times New Roman"/>
          <w:lang w:val="en-US"/>
        </w:rPr>
      </w:pPr>
      <w:r w:rsidRPr="001A417D">
        <w:rPr>
          <w:rFonts w:ascii="Times New Roman" w:hAnsi="Times New Roman"/>
          <w:lang w:val="en-US"/>
        </w:rPr>
        <w:t xml:space="preserve">We continue along the STS track, but switch to an entirely different technology with </w:t>
      </w:r>
      <w:r w:rsidRPr="001A417D">
        <w:rPr>
          <w:rFonts w:ascii="Times New Roman" w:hAnsi="Times New Roman"/>
          <w:b/>
          <w:lang w:val="en-US"/>
        </w:rPr>
        <w:t>Luisa Reis-Castro and Kim Hendrickx</w:t>
      </w:r>
      <w:r w:rsidRPr="001A417D">
        <w:rPr>
          <w:rFonts w:ascii="Times New Roman" w:hAnsi="Times New Roman"/>
          <w:lang w:val="en-US"/>
        </w:rPr>
        <w:t>. This pioneering case</w:t>
      </w:r>
      <w:r w:rsidR="00C92CA9">
        <w:rPr>
          <w:rFonts w:ascii="Times New Roman" w:hAnsi="Times New Roman"/>
          <w:lang w:val="en-US"/>
        </w:rPr>
        <w:t xml:space="preserve"> </w:t>
      </w:r>
      <w:r w:rsidRPr="001A417D">
        <w:rPr>
          <w:rFonts w:ascii="Times New Roman" w:hAnsi="Times New Roman"/>
          <w:lang w:val="en-US"/>
        </w:rPr>
        <w:t>study looks at the release of genetically modified mosquitoes in t</w:t>
      </w:r>
      <w:r w:rsidR="00EA79C6">
        <w:rPr>
          <w:rFonts w:ascii="Times New Roman" w:hAnsi="Times New Roman"/>
          <w:lang w:val="en-US"/>
        </w:rPr>
        <w:t xml:space="preserve">he environment to fight dengue — a disease transmitted </w:t>
      </w:r>
      <w:r w:rsidR="00EA79C6" w:rsidRPr="00EA79C6">
        <w:rPr>
          <w:rFonts w:ascii="Times New Roman" w:hAnsi="Times New Roman"/>
          <w:lang w:val="en-US"/>
        </w:rPr>
        <w:t xml:space="preserve">by </w:t>
      </w:r>
      <w:r w:rsidR="00EA79C6" w:rsidRPr="00EA79C6">
        <w:rPr>
          <w:rFonts w:ascii="Times New Roman" w:eastAsiaTheme="minorEastAsia" w:hAnsi="Times New Roman"/>
          <w:i/>
          <w:iCs/>
          <w:lang w:val="en-US" w:eastAsia="en-US"/>
        </w:rPr>
        <w:t>Aedes aegypti</w:t>
      </w:r>
      <w:r w:rsidRPr="001A417D">
        <w:rPr>
          <w:rFonts w:ascii="Times New Roman" w:hAnsi="Times New Roman"/>
          <w:lang w:val="en-US"/>
        </w:rPr>
        <w:t xml:space="preserve"> mosquitoes. Indeed, transgenic mosquitoes are released to mate with wild mosquitoes and gradually suppress the wild disease-carrying population. The authors ask how this particular approach is framed and legitimized, despite remaining uncertainties </w:t>
      </w:r>
      <w:r w:rsidR="00EA79C6">
        <w:rPr>
          <w:rFonts w:ascii="Times New Roman" w:hAnsi="Times New Roman"/>
          <w:lang w:val="en-US"/>
        </w:rPr>
        <w:t>about the transgenic mosquitoes’</w:t>
      </w:r>
      <w:r w:rsidRPr="001A417D">
        <w:rPr>
          <w:rFonts w:ascii="Times New Roman" w:hAnsi="Times New Roman"/>
          <w:lang w:val="en-US"/>
        </w:rPr>
        <w:t xml:space="preserve"> performance, and the odds of releasing more disease vectors if a proportion of their offspring survives in the wild. Focusing on recent releases in Brazil, the paper shows how</w:t>
      </w:r>
      <w:r w:rsidR="00EA79C6">
        <w:rPr>
          <w:rFonts w:ascii="Times New Roman" w:hAnsi="Times New Roman"/>
          <w:lang w:val="en-US"/>
        </w:rPr>
        <w:t xml:space="preserve"> specific legitimizing rhetoric</w:t>
      </w:r>
      <w:r w:rsidRPr="001A417D">
        <w:rPr>
          <w:rFonts w:ascii="Times New Roman" w:hAnsi="Times New Roman"/>
          <w:lang w:val="en-US"/>
        </w:rPr>
        <w:t xml:space="preserve"> downplay</w:t>
      </w:r>
      <w:r w:rsidR="00E205E9">
        <w:rPr>
          <w:rFonts w:ascii="Times New Roman" w:hAnsi="Times New Roman"/>
          <w:lang w:val="en-US"/>
        </w:rPr>
        <w:t>s</w:t>
      </w:r>
      <w:r w:rsidRPr="001A417D">
        <w:rPr>
          <w:rFonts w:ascii="Times New Roman" w:hAnsi="Times New Roman"/>
          <w:lang w:val="en-US"/>
        </w:rPr>
        <w:t xml:space="preserve"> technical uncertainties while emphasizing the societal benefits and national prestige of adopting this innovative technology. </w:t>
      </w:r>
      <w:r w:rsidR="00E205E9">
        <w:rPr>
          <w:rFonts w:ascii="Times New Roman" w:hAnsi="Times New Roman"/>
          <w:lang w:val="en-US"/>
        </w:rPr>
        <w:t>In addition to using</w:t>
      </w:r>
      <w:r w:rsidRPr="001A417D">
        <w:rPr>
          <w:rFonts w:ascii="Times New Roman" w:hAnsi="Times New Roman"/>
          <w:lang w:val="en-US"/>
        </w:rPr>
        <w:t xml:space="preserve"> discourse analysis, the authors highlight the ambiguous nature of the transgenic mosquito and the spaces it occupies, such as the laboratory and the environment. The laboratory is at once a production unit, an experimental design transposed to the environment, and a transfer zone of a prestigious technology in a new socio-political context. The paper offers some thought-provoking examples and further questions about the international and political dimensions of technology, pu</w:t>
      </w:r>
      <w:r w:rsidR="003314DB">
        <w:rPr>
          <w:rFonts w:ascii="Times New Roman" w:hAnsi="Times New Roman"/>
          <w:lang w:val="en-US"/>
        </w:rPr>
        <w:t>blic health, and the notion of ‘progress’</w:t>
      </w:r>
      <w:r w:rsidRPr="001A417D">
        <w:rPr>
          <w:rFonts w:ascii="Times New Roman" w:hAnsi="Times New Roman"/>
          <w:lang w:val="en-US"/>
        </w:rPr>
        <w:t xml:space="preserve"> in the Brazilian bioeconomy.</w:t>
      </w:r>
    </w:p>
    <w:p w:rsidR="00802D70" w:rsidRPr="001A417D" w:rsidRDefault="00802D70" w:rsidP="00E97AF5">
      <w:pPr>
        <w:spacing w:after="0" w:line="360" w:lineRule="auto"/>
        <w:jc w:val="both"/>
        <w:rPr>
          <w:rFonts w:ascii="Times New Roman" w:hAnsi="Times New Roman"/>
          <w:lang w:val="en-US"/>
        </w:rPr>
      </w:pPr>
    </w:p>
    <w:p w:rsidR="00802D70" w:rsidRDefault="003314DB" w:rsidP="00E97AF5">
      <w:pPr>
        <w:spacing w:after="0" w:line="360" w:lineRule="auto"/>
        <w:jc w:val="both"/>
        <w:rPr>
          <w:rFonts w:ascii="Times New Roman" w:hAnsi="Times New Roman"/>
          <w:lang w:val="en-US"/>
        </w:rPr>
      </w:pPr>
      <w:r>
        <w:rPr>
          <w:rFonts w:ascii="Times New Roman" w:hAnsi="Times New Roman"/>
          <w:b/>
          <w:lang w:val="en-US"/>
        </w:rPr>
        <w:t>Pablo Pellegrin</w:t>
      </w:r>
      <w:r w:rsidR="00D32C0D" w:rsidRPr="001A417D">
        <w:rPr>
          <w:rFonts w:ascii="Times New Roman" w:hAnsi="Times New Roman"/>
          <w:b/>
          <w:lang w:val="en-US"/>
        </w:rPr>
        <w:t>i</w:t>
      </w:r>
      <w:r w:rsidR="00973701">
        <w:rPr>
          <w:rFonts w:ascii="Times New Roman" w:hAnsi="Times New Roman"/>
          <w:lang w:val="en-US"/>
        </w:rPr>
        <w:t>’</w:t>
      </w:r>
      <w:r w:rsidR="00D32C0D" w:rsidRPr="003314DB">
        <w:rPr>
          <w:rFonts w:ascii="Times New Roman" w:hAnsi="Times New Roman"/>
          <w:lang w:val="en-US"/>
        </w:rPr>
        <w:t>s</w:t>
      </w:r>
      <w:r w:rsidR="00D32C0D" w:rsidRPr="001A417D">
        <w:rPr>
          <w:rFonts w:ascii="Times New Roman" w:hAnsi="Times New Roman"/>
          <w:b/>
          <w:lang w:val="en-US"/>
        </w:rPr>
        <w:t xml:space="preserve"> </w:t>
      </w:r>
      <w:r w:rsidR="00D32C0D" w:rsidRPr="001A417D">
        <w:rPr>
          <w:rFonts w:ascii="Times New Roman" w:hAnsi="Times New Roman"/>
          <w:lang w:val="en-US"/>
        </w:rPr>
        <w:t>paper brings in the</w:t>
      </w:r>
      <w:r>
        <w:rPr>
          <w:rFonts w:ascii="Times New Roman" w:hAnsi="Times New Roman"/>
          <w:lang w:val="en-US"/>
        </w:rPr>
        <w:t xml:space="preserve"> international dimension of GMO</w:t>
      </w:r>
      <w:r w:rsidR="00D32C0D" w:rsidRPr="001A417D">
        <w:rPr>
          <w:rFonts w:ascii="Times New Roman" w:hAnsi="Times New Roman"/>
          <w:lang w:val="en-US"/>
        </w:rPr>
        <w:t>s even more expli</w:t>
      </w:r>
      <w:r>
        <w:rPr>
          <w:rFonts w:ascii="Times New Roman" w:hAnsi="Times New Roman"/>
          <w:lang w:val="en-US"/>
        </w:rPr>
        <w:t>citly, by focusing on Argentina’s regulation of GMOs in relation to that of</w:t>
      </w:r>
      <w:r w:rsidR="00E205E9">
        <w:rPr>
          <w:rFonts w:ascii="Times New Roman" w:hAnsi="Times New Roman"/>
          <w:lang w:val="en-US"/>
        </w:rPr>
        <w:t xml:space="preserve"> the</w:t>
      </w:r>
      <w:r>
        <w:rPr>
          <w:rFonts w:ascii="Times New Roman" w:hAnsi="Times New Roman"/>
          <w:lang w:val="en-US"/>
        </w:rPr>
        <w:t xml:space="preserve"> European Union</w:t>
      </w:r>
      <w:r w:rsidR="00D32C0D" w:rsidRPr="001A417D">
        <w:rPr>
          <w:rFonts w:ascii="Times New Roman" w:hAnsi="Times New Roman"/>
          <w:lang w:val="en-US"/>
        </w:rPr>
        <w:t>. The paper explains that both regions have a different approach to the poten</w:t>
      </w:r>
      <w:r>
        <w:rPr>
          <w:rFonts w:ascii="Times New Roman" w:hAnsi="Times New Roman"/>
          <w:lang w:val="en-US"/>
        </w:rPr>
        <w:t>tial risks of GMO</w:t>
      </w:r>
      <w:r w:rsidR="00D32C0D" w:rsidRPr="001A417D">
        <w:rPr>
          <w:rFonts w:ascii="Times New Roman" w:hAnsi="Times New Roman"/>
          <w:lang w:val="en-US"/>
        </w:rPr>
        <w:t>s: a precautionary approach in Europe, and a cost-benefit framework in Argentina. After explaining the principles of these regulatory frameworks, and differences between them, Pellegrini argues that the choice for each regulation is intim</w:t>
      </w:r>
      <w:r w:rsidR="000E5E60">
        <w:rPr>
          <w:rFonts w:ascii="Times New Roman" w:hAnsi="Times New Roman"/>
          <w:lang w:val="en-US"/>
        </w:rPr>
        <w:t>ately related to each player’</w:t>
      </w:r>
      <w:r w:rsidR="00D32C0D" w:rsidRPr="001A417D">
        <w:rPr>
          <w:rFonts w:ascii="Times New Roman" w:hAnsi="Times New Roman"/>
          <w:lang w:val="en-US"/>
        </w:rPr>
        <w:t>s economic position and export or import profile on the international market. This allows the author to speculate upon the commercial interests involved in GMO regulation, and to introduce the issue of regulatory power and its implications. With a precautionary approach</w:t>
      </w:r>
      <w:r w:rsidR="00D224A0">
        <w:rPr>
          <w:rFonts w:ascii="Times New Roman" w:hAnsi="Times New Roman"/>
          <w:lang w:val="en-US"/>
        </w:rPr>
        <w:t xml:space="preserve"> and high </w:t>
      </w:r>
      <w:r w:rsidR="00E205E9">
        <w:rPr>
          <w:rFonts w:ascii="Times New Roman" w:hAnsi="Times New Roman"/>
          <w:lang w:val="en-US"/>
        </w:rPr>
        <w:t xml:space="preserve">skepticism </w:t>
      </w:r>
      <w:r w:rsidR="00D224A0">
        <w:rPr>
          <w:rFonts w:ascii="Times New Roman" w:hAnsi="Times New Roman"/>
          <w:lang w:val="en-US"/>
        </w:rPr>
        <w:t>towards GMO</w:t>
      </w:r>
      <w:r w:rsidR="00D32C0D" w:rsidRPr="001A417D">
        <w:rPr>
          <w:rFonts w:ascii="Times New Roman" w:hAnsi="Times New Roman"/>
          <w:lang w:val="en-US"/>
        </w:rPr>
        <w:t>s in the EU, wha</w:t>
      </w:r>
      <w:r w:rsidR="00D224A0">
        <w:rPr>
          <w:rFonts w:ascii="Times New Roman" w:hAnsi="Times New Roman"/>
          <w:lang w:val="en-US"/>
        </w:rPr>
        <w:t>t are the choices for Argentina’</w:t>
      </w:r>
      <w:r w:rsidR="00D32C0D" w:rsidRPr="001A417D">
        <w:rPr>
          <w:rFonts w:ascii="Times New Roman" w:hAnsi="Times New Roman"/>
          <w:lang w:val="en-US"/>
        </w:rPr>
        <w:t>s own regulatory designs as an important exporter to Europe? And what can the EU gain from its GMO skepticism?</w:t>
      </w:r>
    </w:p>
    <w:p w:rsidR="00D224A0" w:rsidRPr="001A417D" w:rsidRDefault="00D224A0" w:rsidP="00E97AF5">
      <w:pPr>
        <w:spacing w:after="0" w:line="360" w:lineRule="auto"/>
        <w:jc w:val="both"/>
        <w:rPr>
          <w:rFonts w:ascii="Times New Roman" w:hAnsi="Times New Roman"/>
          <w:lang w:val="en-US"/>
        </w:rPr>
      </w:pPr>
    </w:p>
    <w:p w:rsidR="00802D70" w:rsidRDefault="00D224A0" w:rsidP="00E97AF5">
      <w:pPr>
        <w:spacing w:after="0" w:line="360" w:lineRule="auto"/>
        <w:jc w:val="both"/>
        <w:rPr>
          <w:rFonts w:ascii="Times New Roman" w:hAnsi="Times New Roman"/>
          <w:lang w:val="en-US"/>
        </w:rPr>
      </w:pPr>
      <w:r w:rsidRPr="00D224A0">
        <w:rPr>
          <w:rFonts w:ascii="Times New Roman" w:hAnsi="Times New Roman"/>
          <w:b/>
          <w:lang w:val="en-US"/>
        </w:rPr>
        <w:t>Fe</w:t>
      </w:r>
      <w:r w:rsidR="00D32C0D" w:rsidRPr="00D224A0">
        <w:rPr>
          <w:rFonts w:ascii="Times New Roman" w:hAnsi="Times New Roman"/>
          <w:b/>
          <w:lang w:val="en-US"/>
        </w:rPr>
        <w:t xml:space="preserve">lipe </w:t>
      </w:r>
      <w:r w:rsidR="00D32C0D" w:rsidRPr="001A417D">
        <w:rPr>
          <w:rFonts w:ascii="Times New Roman" w:hAnsi="Times New Roman"/>
          <w:b/>
          <w:lang w:val="en-US"/>
        </w:rPr>
        <w:t>Filomeno</w:t>
      </w:r>
      <w:r w:rsidR="00D32C0D" w:rsidRPr="001A417D">
        <w:rPr>
          <w:rFonts w:ascii="Times New Roman" w:hAnsi="Times New Roman"/>
          <w:lang w:val="en-US"/>
        </w:rPr>
        <w:t xml:space="preserve"> further elaborates on the issue of regulatory power through a challenging systematic and comparative analysis of three neighboring countries: Paraguay, Argentina and Brazil. The author asks how their very different intellectual property (IP) regimes can be expl</w:t>
      </w:r>
      <w:r w:rsidR="00E936D5">
        <w:rPr>
          <w:rFonts w:ascii="Times New Roman" w:hAnsi="Times New Roman"/>
          <w:lang w:val="en-US"/>
        </w:rPr>
        <w:t>ained. Usually, a state’</w:t>
      </w:r>
      <w:r w:rsidR="00D32C0D" w:rsidRPr="001A417D">
        <w:rPr>
          <w:rFonts w:ascii="Times New Roman" w:hAnsi="Times New Roman"/>
          <w:lang w:val="en-US"/>
        </w:rPr>
        <w:t>s IP regime is explained in terms of national economic parameters such as income per capita. This approach, however, does not help to explain why Argentina has developed a permissive IP regime, while Brazil and Paraguay have</w:t>
      </w:r>
      <w:r w:rsidR="00F02B0E">
        <w:rPr>
          <w:rFonts w:ascii="Times New Roman" w:hAnsi="Times New Roman"/>
          <w:lang w:val="en-US"/>
        </w:rPr>
        <w:t xml:space="preserve"> </w:t>
      </w:r>
      <w:r w:rsidR="00E205E9">
        <w:rPr>
          <w:rFonts w:ascii="Times New Roman" w:hAnsi="Times New Roman"/>
          <w:lang w:val="en-US"/>
        </w:rPr>
        <w:t>differing</w:t>
      </w:r>
      <w:r w:rsidR="00D32C0D" w:rsidRPr="001A417D">
        <w:rPr>
          <w:rFonts w:ascii="Times New Roman" w:hAnsi="Times New Roman"/>
          <w:lang w:val="en-US"/>
        </w:rPr>
        <w:t xml:space="preserve"> restrictive IP regimes. The originality of this paper lies in the fact that IP regimes are explored through variables related to t</w:t>
      </w:r>
      <w:r w:rsidR="0051271D">
        <w:rPr>
          <w:rFonts w:ascii="Times New Roman" w:hAnsi="Times New Roman"/>
          <w:lang w:val="en-US"/>
        </w:rPr>
        <w:t>he biotech industry and a state’</w:t>
      </w:r>
      <w:r w:rsidR="00D32C0D" w:rsidRPr="001A417D">
        <w:rPr>
          <w:rFonts w:ascii="Times New Roman" w:hAnsi="Times New Roman"/>
          <w:lang w:val="en-US"/>
        </w:rPr>
        <w:t>s capacity to intervene in that industry. In addition, Filomeno</w:t>
      </w:r>
      <w:r w:rsidR="00F259E7">
        <w:rPr>
          <w:rFonts w:ascii="Times New Roman" w:hAnsi="Times New Roman"/>
          <w:lang w:val="en-US"/>
        </w:rPr>
        <w:t>’</w:t>
      </w:r>
      <w:r w:rsidR="00D32C0D" w:rsidRPr="001A417D">
        <w:rPr>
          <w:rFonts w:ascii="Times New Roman" w:hAnsi="Times New Roman"/>
          <w:lang w:val="en-US"/>
        </w:rPr>
        <w:t xml:space="preserve">s analysis brings in a rich historical dimension, articulating for each </w:t>
      </w:r>
      <w:r w:rsidR="00E205E9">
        <w:rPr>
          <w:rFonts w:ascii="Times New Roman" w:hAnsi="Times New Roman"/>
          <w:lang w:val="en-US"/>
        </w:rPr>
        <w:t>country</w:t>
      </w:r>
      <w:r w:rsidR="00E205E9" w:rsidRPr="001A417D">
        <w:rPr>
          <w:rFonts w:ascii="Times New Roman" w:hAnsi="Times New Roman"/>
          <w:lang w:val="en-US"/>
        </w:rPr>
        <w:t xml:space="preserve"> </w:t>
      </w:r>
      <w:r w:rsidR="00D32C0D" w:rsidRPr="001A417D">
        <w:rPr>
          <w:rFonts w:ascii="Times New Roman" w:hAnsi="Times New Roman"/>
          <w:lang w:val="en-US"/>
        </w:rPr>
        <w:t>how its regulatory and research institutions have changed, disappeared or adapted to international neoliberal reforms. These historic</w:t>
      </w:r>
      <w:r w:rsidR="0051271D">
        <w:rPr>
          <w:rFonts w:ascii="Times New Roman" w:hAnsi="Times New Roman"/>
          <w:lang w:val="en-US"/>
        </w:rPr>
        <w:t>al</w:t>
      </w:r>
      <w:r w:rsidR="00D32C0D" w:rsidRPr="001A417D">
        <w:rPr>
          <w:rFonts w:ascii="Times New Roman" w:hAnsi="Times New Roman"/>
          <w:lang w:val="en-US"/>
        </w:rPr>
        <w:t xml:space="preserve"> and contemporary connections between specific institutions, neoliberalism, and a </w:t>
      </w:r>
      <w:r w:rsidR="0051271D">
        <w:rPr>
          <w:rFonts w:ascii="Times New Roman" w:hAnsi="Times New Roman"/>
          <w:lang w:val="en-US"/>
        </w:rPr>
        <w:t>state’</w:t>
      </w:r>
      <w:r w:rsidR="00D32C0D" w:rsidRPr="001A417D">
        <w:rPr>
          <w:rFonts w:ascii="Times New Roman" w:hAnsi="Times New Roman"/>
          <w:lang w:val="en-US"/>
        </w:rPr>
        <w:t>s capacity to intervene in the bio-industry provide interesting material to think a</w:t>
      </w:r>
      <w:r w:rsidR="0051271D">
        <w:rPr>
          <w:rFonts w:ascii="Times New Roman" w:hAnsi="Times New Roman"/>
          <w:lang w:val="en-US"/>
        </w:rPr>
        <w:t>bout power as structuring other’</w:t>
      </w:r>
      <w:r w:rsidR="00D32C0D" w:rsidRPr="001A417D">
        <w:rPr>
          <w:rFonts w:ascii="Times New Roman" w:hAnsi="Times New Roman"/>
          <w:lang w:val="en-US"/>
        </w:rPr>
        <w:t>s field of action through rule-making in the</w:t>
      </w:r>
      <w:r w:rsidR="0051271D">
        <w:rPr>
          <w:rFonts w:ascii="Times New Roman" w:hAnsi="Times New Roman"/>
          <w:lang w:val="en-US"/>
        </w:rPr>
        <w:t xml:space="preserve"> global</w:t>
      </w:r>
      <w:r w:rsidR="00D32C0D" w:rsidRPr="001A417D">
        <w:rPr>
          <w:rFonts w:ascii="Times New Roman" w:hAnsi="Times New Roman"/>
          <w:lang w:val="en-US"/>
        </w:rPr>
        <w:t xml:space="preserve"> bioeconomy.</w:t>
      </w:r>
    </w:p>
    <w:p w:rsidR="0051271D" w:rsidRPr="001A417D" w:rsidRDefault="0051271D" w:rsidP="00E97AF5">
      <w:pPr>
        <w:spacing w:after="0" w:line="360" w:lineRule="auto"/>
        <w:jc w:val="both"/>
        <w:rPr>
          <w:rFonts w:ascii="Times New Roman" w:hAnsi="Times New Roman"/>
          <w:lang w:val="en-US"/>
        </w:rPr>
      </w:pPr>
    </w:p>
    <w:p w:rsidR="000F1817" w:rsidRDefault="00D32C0D" w:rsidP="00E97AF5">
      <w:pPr>
        <w:widowControl w:val="0"/>
        <w:autoSpaceDE w:val="0"/>
        <w:autoSpaceDN w:val="0"/>
        <w:adjustRightInd w:val="0"/>
        <w:spacing w:after="0" w:line="360" w:lineRule="auto"/>
        <w:jc w:val="both"/>
        <w:rPr>
          <w:rFonts w:ascii="Times New Roman" w:eastAsiaTheme="minorEastAsia" w:hAnsi="Times New Roman"/>
          <w:lang w:val="en-US" w:eastAsia="en-US"/>
        </w:rPr>
      </w:pPr>
      <w:r w:rsidRPr="001A417D">
        <w:rPr>
          <w:rFonts w:ascii="Times New Roman" w:hAnsi="Times New Roman"/>
          <w:lang w:val="en-US"/>
        </w:rPr>
        <w:t xml:space="preserve">Our final contribution, by </w:t>
      </w:r>
      <w:r w:rsidRPr="001A417D">
        <w:rPr>
          <w:rFonts w:ascii="Times New Roman" w:hAnsi="Times New Roman"/>
          <w:b/>
          <w:lang w:val="en-US"/>
        </w:rPr>
        <w:t>Pierre Delvenne, Federico Vasen and Ana Maria Vara</w:t>
      </w:r>
      <w:r w:rsidRPr="001A417D">
        <w:rPr>
          <w:rFonts w:ascii="Times New Roman" w:hAnsi="Times New Roman"/>
          <w:lang w:val="en-US"/>
        </w:rPr>
        <w:t>, is a theor</w:t>
      </w:r>
      <w:r w:rsidR="00802D70" w:rsidRPr="001A417D">
        <w:rPr>
          <w:rFonts w:ascii="Times New Roman" w:hAnsi="Times New Roman"/>
          <w:lang w:val="en-US"/>
        </w:rPr>
        <w:t>e</w:t>
      </w:r>
      <w:r w:rsidRPr="001A417D">
        <w:rPr>
          <w:rFonts w:ascii="Times New Roman" w:hAnsi="Times New Roman"/>
          <w:lang w:val="en-US"/>
        </w:rPr>
        <w:t>tically provoking paper that relates three concepts</w:t>
      </w:r>
      <w:r w:rsidRPr="001A417D">
        <w:rPr>
          <w:rFonts w:ascii="Times New Roman" w:hAnsi="Times New Roman"/>
          <w:b/>
          <w:lang w:val="en-US"/>
        </w:rPr>
        <w:t xml:space="preserve"> </w:t>
      </w:r>
      <w:r w:rsidRPr="001A417D">
        <w:rPr>
          <w:rFonts w:ascii="Times New Roman" w:hAnsi="Times New Roman"/>
          <w:lang w:val="en-US"/>
        </w:rPr>
        <w:t xml:space="preserve">that are central to this Special Issue: bioeconomy, regulation and neoliberalism. The authors </w:t>
      </w:r>
      <w:r w:rsidRPr="001A417D">
        <w:rPr>
          <w:rFonts w:ascii="Times New Roman" w:eastAsiaTheme="minorEastAsia" w:hAnsi="Times New Roman"/>
          <w:lang w:val="en-US" w:eastAsia="en-US"/>
        </w:rPr>
        <w:t xml:space="preserve">explore the expansion of genetically modified soy in Argentina and they aim to understand how the neoliberal “globalized privatization regime” </w:t>
      </w:r>
      <w:r w:rsidR="00973701">
        <w:rPr>
          <w:rFonts w:ascii="Times New Roman" w:eastAsiaTheme="minorEastAsia" w:hAnsi="Times New Roman"/>
          <w:lang w:val="en-US" w:eastAsia="en-US"/>
        </w:rPr>
        <w:t>[13]</w:t>
      </w:r>
      <w:r w:rsidRPr="001A417D">
        <w:rPr>
          <w:rFonts w:ascii="Times New Roman" w:eastAsiaTheme="minorEastAsia" w:hAnsi="Times New Roman"/>
          <w:lang w:val="en-US" w:eastAsia="en-US"/>
        </w:rPr>
        <w:t xml:space="preserve"> unfolded in a peripheral location. Their case points at the Argentinean peculiarities of the GM soy complex (compared to neighboring countries like Brazil), with a technological package “free of patents”, embedded in a permissive IP regime as well as in a relatively open, non-monopolistic market dominated by private companies and not limited to multinationals.</w:t>
      </w:r>
      <w:r w:rsidRPr="001A417D">
        <w:rPr>
          <w:rFonts w:ascii="Times" w:eastAsiaTheme="minorEastAsia" w:hAnsi="Times" w:cs="Times"/>
          <w:lang w:val="en-US" w:eastAsia="en-US"/>
        </w:rPr>
        <w:t xml:space="preserve"> </w:t>
      </w:r>
      <w:r w:rsidRPr="001A417D">
        <w:rPr>
          <w:rFonts w:ascii="Times New Roman" w:eastAsiaTheme="minorEastAsia" w:hAnsi="Times New Roman"/>
          <w:lang w:val="en-US" w:eastAsia="en-US"/>
        </w:rPr>
        <w:t xml:space="preserve">While they confirm the progression of the neoliberal “capture” of biotechnology in the country, their findings suggest that, combined with the commercialization of science, </w:t>
      </w:r>
      <w:r w:rsidR="00E205E9">
        <w:rPr>
          <w:rFonts w:ascii="Times New Roman" w:eastAsiaTheme="minorEastAsia" w:hAnsi="Times New Roman"/>
          <w:lang w:val="en-US" w:eastAsia="en-US"/>
        </w:rPr>
        <w:t>“</w:t>
      </w:r>
      <w:r w:rsidRPr="001A417D">
        <w:rPr>
          <w:rFonts w:ascii="Times New Roman" w:eastAsiaTheme="minorEastAsia" w:hAnsi="Times New Roman"/>
          <w:lang w:val="en-US" w:eastAsia="en-US"/>
        </w:rPr>
        <w:t>peripherality</w:t>
      </w:r>
      <w:r w:rsidR="00E205E9">
        <w:rPr>
          <w:rFonts w:ascii="Times New Roman" w:eastAsiaTheme="minorEastAsia" w:hAnsi="Times New Roman"/>
          <w:lang w:val="en-US" w:eastAsia="en-US"/>
        </w:rPr>
        <w:t>”</w:t>
      </w:r>
      <w:r w:rsidRPr="001A417D">
        <w:rPr>
          <w:rFonts w:ascii="Times New Roman" w:eastAsiaTheme="minorEastAsia" w:hAnsi="Times New Roman"/>
          <w:lang w:val="en-US" w:eastAsia="en-US"/>
        </w:rPr>
        <w:t xml:space="preserve"> creates protest, activism and local regulation.</w:t>
      </w:r>
      <w:r w:rsidRPr="001A417D">
        <w:rPr>
          <w:rFonts w:ascii="Times" w:eastAsiaTheme="minorEastAsia" w:hAnsi="Times" w:cs="Times"/>
          <w:lang w:val="en-US" w:eastAsia="en-US"/>
        </w:rPr>
        <w:t xml:space="preserve"> They</w:t>
      </w:r>
      <w:r w:rsidRPr="001A417D">
        <w:rPr>
          <w:rFonts w:ascii="Times New Roman" w:eastAsiaTheme="minorEastAsia" w:hAnsi="Times New Roman"/>
          <w:lang w:val="en-US" w:eastAsia="en-US"/>
        </w:rPr>
        <w:t xml:space="preserve"> devote particular attention to the participation of two groups of local actors in the regime: the first group is aligned with the globalized privatization regime agendas, while the second is involved in protest and regulatory actions focusing on the health, environmental and safety issues of the GM soy complex. To a different extent, both groups share a local agenda of resistance and an anti-imperialist imaginary</w:t>
      </w:r>
      <w:r w:rsidR="00F259E7">
        <w:rPr>
          <w:rFonts w:ascii="Times New Roman" w:eastAsiaTheme="minorEastAsia" w:hAnsi="Times New Roman"/>
          <w:lang w:val="en-US" w:eastAsia="en-US"/>
        </w:rPr>
        <w:t xml:space="preserve"> (on the notion of imaginary, see e.g. </w:t>
      </w:r>
      <w:r w:rsidR="00973701">
        <w:rPr>
          <w:rFonts w:ascii="Times New Roman" w:eastAsiaTheme="minorEastAsia" w:hAnsi="Times New Roman"/>
          <w:lang w:val="en-US" w:eastAsia="en-US"/>
        </w:rPr>
        <w:t>[14]</w:t>
      </w:r>
      <w:r w:rsidR="00F259E7">
        <w:rPr>
          <w:rFonts w:ascii="Times New Roman" w:eastAsiaTheme="minorEastAsia" w:hAnsi="Times New Roman"/>
          <w:lang w:val="en-US" w:eastAsia="en-US"/>
        </w:rPr>
        <w:t>)</w:t>
      </w:r>
      <w:r w:rsidRPr="001A417D">
        <w:rPr>
          <w:rFonts w:ascii="Times New Roman" w:eastAsiaTheme="minorEastAsia" w:hAnsi="Times New Roman"/>
          <w:lang w:val="en-US" w:eastAsia="en-US"/>
        </w:rPr>
        <w:t xml:space="preserve">. Both have national development objectives for Argentina in their ideological roots, although their conceptions of “development” are very different, pitting industrial development against the protection of peasants’ livelihoods and the environment. They conclude that it is not accurate to postulate that the neoliberal globalized privatization regime is simply expanding to, or </w:t>
      </w:r>
      <w:r w:rsidR="000F1817">
        <w:rPr>
          <w:rFonts w:ascii="Times New Roman" w:eastAsiaTheme="minorEastAsia" w:hAnsi="Times New Roman"/>
          <w:lang w:val="en-US" w:eastAsia="en-US"/>
        </w:rPr>
        <w:t>‘</w:t>
      </w:r>
      <w:r w:rsidRPr="001A417D">
        <w:rPr>
          <w:rFonts w:ascii="Times New Roman" w:eastAsiaTheme="minorEastAsia" w:hAnsi="Times New Roman"/>
          <w:lang w:val="en-US" w:eastAsia="en-US"/>
        </w:rPr>
        <w:t>taking over</w:t>
      </w:r>
      <w:r w:rsidR="000F1817">
        <w:rPr>
          <w:rFonts w:ascii="Times New Roman" w:eastAsiaTheme="minorEastAsia" w:hAnsi="Times New Roman"/>
          <w:lang w:val="en-US" w:eastAsia="en-US"/>
        </w:rPr>
        <w:t>’</w:t>
      </w:r>
      <w:r w:rsidRPr="001A417D">
        <w:rPr>
          <w:rFonts w:ascii="Times New Roman" w:eastAsiaTheme="minorEastAsia" w:hAnsi="Times New Roman"/>
          <w:lang w:val="en-US" w:eastAsia="en-US"/>
        </w:rPr>
        <w:t xml:space="preserve"> Southern countries, but that it is activated and enacted in different and contradictory ways.</w:t>
      </w:r>
    </w:p>
    <w:p w:rsidR="00802D70" w:rsidRPr="001A417D" w:rsidRDefault="00802D70" w:rsidP="00E97AF5">
      <w:pPr>
        <w:widowControl w:val="0"/>
        <w:autoSpaceDE w:val="0"/>
        <w:autoSpaceDN w:val="0"/>
        <w:adjustRightInd w:val="0"/>
        <w:spacing w:after="0" w:line="360" w:lineRule="auto"/>
        <w:jc w:val="both"/>
        <w:rPr>
          <w:rFonts w:ascii="Times" w:eastAsiaTheme="minorEastAsia" w:hAnsi="Times" w:cs="Times"/>
          <w:lang w:val="en-US" w:eastAsia="en-US"/>
        </w:rPr>
      </w:pPr>
    </w:p>
    <w:p w:rsidR="00802D70" w:rsidRPr="005F013D" w:rsidRDefault="00D32C0D" w:rsidP="00E97AF5">
      <w:pPr>
        <w:spacing w:after="0" w:line="360" w:lineRule="auto"/>
        <w:jc w:val="both"/>
        <w:rPr>
          <w:rFonts w:ascii="Times New Roman" w:hAnsi="Times New Roman"/>
          <w:lang w:val="en-US"/>
        </w:rPr>
      </w:pPr>
      <w:r w:rsidRPr="001A417D">
        <w:rPr>
          <w:rFonts w:ascii="Times New Roman" w:hAnsi="Times New Roman"/>
          <w:lang w:val="en-US"/>
        </w:rPr>
        <w:t>A number of common themes appear through our contributors</w:t>
      </w:r>
      <w:r w:rsidR="000F1817">
        <w:rPr>
          <w:rFonts w:ascii="Times New Roman" w:hAnsi="Times New Roman"/>
          <w:lang w:val="en-US"/>
        </w:rPr>
        <w:t>’</w:t>
      </w:r>
      <w:r w:rsidRPr="001A417D">
        <w:rPr>
          <w:rFonts w:ascii="Times New Roman" w:hAnsi="Times New Roman"/>
          <w:lang w:val="en-US"/>
        </w:rPr>
        <w:t xml:space="preserve"> very diverse empirical material, methodologies and approaches. </w:t>
      </w:r>
      <w:r w:rsidR="0008676D" w:rsidRPr="001A417D">
        <w:rPr>
          <w:rFonts w:ascii="Times New Roman" w:hAnsi="Times New Roman"/>
          <w:lang w:val="en-US"/>
        </w:rPr>
        <w:t xml:space="preserve">Clearly, our collective effort to dislocate, articulate, and open up the </w:t>
      </w:r>
      <w:r w:rsidR="0008676D">
        <w:rPr>
          <w:rFonts w:ascii="Times New Roman" w:hAnsi="Times New Roman"/>
          <w:lang w:val="en-US"/>
        </w:rPr>
        <w:t>“Northern”</w:t>
      </w:r>
      <w:r w:rsidR="0008676D" w:rsidRPr="001A417D">
        <w:rPr>
          <w:rFonts w:ascii="Times New Roman" w:hAnsi="Times New Roman"/>
          <w:lang w:val="en-US"/>
        </w:rPr>
        <w:t xml:space="preserve"> policy concept and narrative of the </w:t>
      </w:r>
      <w:r w:rsidR="0008676D">
        <w:rPr>
          <w:rFonts w:ascii="Times New Roman" w:hAnsi="Times New Roman"/>
          <w:lang w:val="en-US"/>
        </w:rPr>
        <w:t>‘</w:t>
      </w:r>
      <w:r w:rsidR="0008676D" w:rsidRPr="001A417D">
        <w:rPr>
          <w:rFonts w:ascii="Times New Roman" w:hAnsi="Times New Roman"/>
          <w:lang w:val="en-US"/>
        </w:rPr>
        <w:t>bioeconomy</w:t>
      </w:r>
      <w:r w:rsidR="0008676D">
        <w:rPr>
          <w:rFonts w:ascii="Times New Roman" w:hAnsi="Times New Roman"/>
          <w:lang w:val="en-US"/>
        </w:rPr>
        <w:t>’</w:t>
      </w:r>
      <w:r w:rsidR="0008676D" w:rsidRPr="001A417D">
        <w:rPr>
          <w:rFonts w:ascii="Times New Roman" w:hAnsi="Times New Roman"/>
          <w:lang w:val="en-US"/>
        </w:rPr>
        <w:t xml:space="preserve"> through case-specific analyses shows that biotechnology </w:t>
      </w:r>
      <w:r w:rsidR="0008676D" w:rsidRPr="005F013D">
        <w:rPr>
          <w:rFonts w:ascii="Times New Roman" w:hAnsi="Times New Roman"/>
          <w:i/>
          <w:lang w:val="en-US"/>
        </w:rPr>
        <w:t>makes a difference</w:t>
      </w:r>
      <w:r w:rsidR="0008676D" w:rsidRPr="001A417D">
        <w:rPr>
          <w:rFonts w:ascii="Times New Roman" w:hAnsi="Times New Roman"/>
          <w:lang w:val="en-US"/>
        </w:rPr>
        <w:t xml:space="preserve"> in Latin America</w:t>
      </w:r>
      <w:r w:rsidR="0008676D">
        <w:rPr>
          <w:rFonts w:ascii="Times New Roman" w:hAnsi="Times New Roman"/>
          <w:lang w:val="en-US"/>
        </w:rPr>
        <w:t>, by shaping new social relations and political configurations</w:t>
      </w:r>
      <w:r w:rsidR="0008676D" w:rsidRPr="001A417D">
        <w:rPr>
          <w:rFonts w:ascii="Times New Roman" w:hAnsi="Times New Roman"/>
          <w:lang w:val="en-US"/>
        </w:rPr>
        <w:t>.</w:t>
      </w:r>
      <w:r w:rsidR="00EF0B77">
        <w:rPr>
          <w:rFonts w:ascii="Times New Roman" w:hAnsi="Times New Roman"/>
          <w:lang w:val="en-US"/>
        </w:rPr>
        <w:t xml:space="preserve"> </w:t>
      </w:r>
      <w:r w:rsidRPr="001A417D">
        <w:rPr>
          <w:rFonts w:ascii="Times New Roman" w:hAnsi="Times New Roman"/>
          <w:lang w:val="en-US"/>
        </w:rPr>
        <w:t xml:space="preserve">But what the papers show as well is that this Special Issue is not about Latin America alone. International and cross-continental developments and regulation are as important to our understanding of the bioeconomy as local specificities, national histories, subnational populations, and </w:t>
      </w:r>
      <w:r w:rsidR="004440E7" w:rsidRPr="001A417D">
        <w:rPr>
          <w:rFonts w:ascii="Times New Roman" w:hAnsi="Times New Roman"/>
          <w:lang w:val="en-US"/>
        </w:rPr>
        <w:t>distinct</w:t>
      </w:r>
      <w:r w:rsidRPr="001A417D">
        <w:rPr>
          <w:rFonts w:ascii="Times New Roman" w:hAnsi="Times New Roman"/>
          <w:lang w:val="en-US"/>
        </w:rPr>
        <w:t xml:space="preserve"> sociotechnical production systems. The challenge is to combine and think</w:t>
      </w:r>
      <w:r w:rsidR="008A4526">
        <w:rPr>
          <w:rFonts w:ascii="Times New Roman" w:hAnsi="Times New Roman"/>
          <w:lang w:val="en-US"/>
        </w:rPr>
        <w:t xml:space="preserve"> through</w:t>
      </w:r>
      <w:r w:rsidRPr="001A417D">
        <w:rPr>
          <w:rFonts w:ascii="Times New Roman" w:hAnsi="Times New Roman"/>
          <w:lang w:val="en-US"/>
        </w:rPr>
        <w:t xml:space="preserve"> these dimensions together, without reiterating the master narrative itself. As the </w:t>
      </w:r>
      <w:r w:rsidR="008A4526">
        <w:rPr>
          <w:rFonts w:ascii="Times New Roman" w:hAnsi="Times New Roman"/>
          <w:lang w:val="en-US"/>
        </w:rPr>
        <w:t xml:space="preserve">guest </w:t>
      </w:r>
      <w:r w:rsidRPr="001A417D">
        <w:rPr>
          <w:rFonts w:ascii="Times New Roman" w:hAnsi="Times New Roman"/>
          <w:lang w:val="en-US"/>
        </w:rPr>
        <w:t>editors of this Special issue, we have had the privilege of collaborating with Latin American authors to offer a first attempt</w:t>
      </w:r>
      <w:r w:rsidR="008A4526">
        <w:rPr>
          <w:rFonts w:ascii="Times New Roman" w:hAnsi="Times New Roman"/>
          <w:lang w:val="en-US"/>
        </w:rPr>
        <w:t xml:space="preserve"> at doing this</w:t>
      </w:r>
      <w:r w:rsidRPr="001A417D">
        <w:rPr>
          <w:rFonts w:ascii="Times New Roman" w:hAnsi="Times New Roman"/>
          <w:lang w:val="en-US"/>
        </w:rPr>
        <w:t>.</w:t>
      </w:r>
    </w:p>
    <w:p w:rsidR="00802D70" w:rsidRPr="00973701" w:rsidRDefault="00802D70" w:rsidP="00D71671">
      <w:pPr>
        <w:spacing w:after="0" w:line="360" w:lineRule="auto"/>
        <w:jc w:val="both"/>
        <w:rPr>
          <w:rFonts w:ascii="Times New Roman" w:hAnsi="Times New Roman"/>
          <w:lang w:val="en-US" w:eastAsia="en-US"/>
        </w:rPr>
      </w:pPr>
    </w:p>
    <w:p w:rsidR="00973701" w:rsidRPr="00973701" w:rsidRDefault="00973701" w:rsidP="00D71671">
      <w:pPr>
        <w:widowControl w:val="0"/>
        <w:autoSpaceDE w:val="0"/>
        <w:autoSpaceDN w:val="0"/>
        <w:adjustRightInd w:val="0"/>
        <w:spacing w:after="0" w:line="360" w:lineRule="auto"/>
        <w:jc w:val="both"/>
        <w:rPr>
          <w:rFonts w:ascii="Times New Roman" w:eastAsiaTheme="minorEastAsia" w:hAnsi="Times New Roman"/>
          <w:b/>
          <w:lang w:val="en-US" w:eastAsia="en-US"/>
        </w:rPr>
      </w:pPr>
      <w:r w:rsidRPr="00973701">
        <w:rPr>
          <w:rFonts w:ascii="Times New Roman" w:eastAsiaTheme="minorEastAsia" w:hAnsi="Times New Roman"/>
          <w:b/>
          <w:lang w:val="en-US" w:eastAsia="en-US"/>
        </w:rPr>
        <w:t>References</w:t>
      </w:r>
    </w:p>
    <w:p w:rsidR="001E2D4C" w:rsidRPr="00973701" w:rsidRDefault="001E2D4C" w:rsidP="00D71671">
      <w:pPr>
        <w:widowControl w:val="0"/>
        <w:autoSpaceDE w:val="0"/>
        <w:autoSpaceDN w:val="0"/>
        <w:adjustRightInd w:val="0"/>
        <w:spacing w:after="0" w:line="360" w:lineRule="auto"/>
        <w:jc w:val="both"/>
        <w:rPr>
          <w:rFonts w:ascii="Times New Roman" w:eastAsiaTheme="minorEastAsia" w:hAnsi="Times New Roman"/>
          <w:lang w:val="en-US" w:eastAsia="en-US"/>
        </w:rPr>
      </w:pPr>
      <w:r w:rsidRPr="00973701">
        <w:rPr>
          <w:rFonts w:ascii="Times New Roman" w:eastAsiaTheme="minorEastAsia" w:hAnsi="Times New Roman"/>
          <w:lang w:val="en-US" w:eastAsia="en-US"/>
        </w:rPr>
        <w:t>[1] Delvenne P, Thoreau F. Beyond the “charmed circle” of OECD: new directions for studies of national innovation systems. Minerva 2012; 50 (2).</w:t>
      </w:r>
    </w:p>
    <w:p w:rsidR="001E2D4C" w:rsidRPr="00973701" w:rsidRDefault="001E2D4C" w:rsidP="00D71671">
      <w:pPr>
        <w:widowControl w:val="0"/>
        <w:autoSpaceDE w:val="0"/>
        <w:autoSpaceDN w:val="0"/>
        <w:adjustRightInd w:val="0"/>
        <w:spacing w:after="0" w:line="360" w:lineRule="auto"/>
        <w:jc w:val="both"/>
        <w:rPr>
          <w:rFonts w:ascii="Times New Roman" w:eastAsiaTheme="minorEastAsia" w:hAnsi="Times New Roman"/>
          <w:lang w:val="en-US" w:eastAsia="en-US"/>
        </w:rPr>
      </w:pPr>
      <w:r w:rsidRPr="00973701">
        <w:rPr>
          <w:rFonts w:ascii="Times New Roman" w:hAnsi="Times New Roman"/>
          <w:lang w:val="en-US"/>
        </w:rPr>
        <w:t xml:space="preserve">[2] </w:t>
      </w:r>
      <w:r w:rsidRPr="00973701">
        <w:rPr>
          <w:rFonts w:ascii="Times New Roman" w:eastAsiaTheme="minorEastAsia" w:hAnsi="Times New Roman"/>
          <w:lang w:val="en-US" w:eastAsia="en-US"/>
        </w:rPr>
        <w:t xml:space="preserve">Latour B. Is Re-modernization Occurring - And If So, How to Prove It?: A Commentary on Ulrich Beck. </w:t>
      </w:r>
      <w:r w:rsidRPr="00973701">
        <w:rPr>
          <w:rFonts w:ascii="Times New Roman" w:eastAsiaTheme="minorEastAsia" w:hAnsi="Times New Roman"/>
          <w:iCs/>
          <w:lang w:val="en-US" w:eastAsia="en-US"/>
        </w:rPr>
        <w:t>Theory, Culture &amp; Society 2003;</w:t>
      </w:r>
      <w:r w:rsidRPr="00973701">
        <w:rPr>
          <w:rFonts w:ascii="Times New Roman" w:eastAsiaTheme="minorEastAsia" w:hAnsi="Times New Roman"/>
          <w:i/>
          <w:iCs/>
          <w:lang w:val="en-US" w:eastAsia="en-US"/>
        </w:rPr>
        <w:t xml:space="preserve"> </w:t>
      </w:r>
      <w:r w:rsidRPr="00973701">
        <w:rPr>
          <w:rFonts w:ascii="Times New Roman" w:eastAsiaTheme="minorEastAsia" w:hAnsi="Times New Roman"/>
          <w:lang w:val="en-US" w:eastAsia="en-US"/>
        </w:rPr>
        <w:t>20: 35-48.</w:t>
      </w:r>
    </w:p>
    <w:p w:rsidR="001E2D4C" w:rsidRPr="00973701" w:rsidRDefault="001E2D4C" w:rsidP="00D71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lang w:val="en-US"/>
        </w:rPr>
      </w:pPr>
      <w:r w:rsidRPr="00973701">
        <w:rPr>
          <w:rFonts w:ascii="Times New Roman" w:eastAsiaTheme="minorEastAsia" w:hAnsi="Times New Roman"/>
          <w:lang w:val="en-US" w:eastAsia="en-US"/>
        </w:rPr>
        <w:t xml:space="preserve">[3] </w:t>
      </w:r>
      <w:r w:rsidR="00FE363A" w:rsidRPr="00973701">
        <w:rPr>
          <w:rFonts w:ascii="Times New Roman" w:hAnsi="Times New Roman"/>
          <w:lang w:val="en-US"/>
        </w:rPr>
        <w:t>Jones MD, McBeth MK</w:t>
      </w:r>
      <w:r w:rsidRPr="00973701">
        <w:rPr>
          <w:rFonts w:ascii="Times New Roman" w:hAnsi="Times New Roman"/>
          <w:lang w:val="en-US"/>
        </w:rPr>
        <w:t xml:space="preserve"> A narrative Policy Framework: Clear Enough to Be Wrong?. </w:t>
      </w:r>
      <w:r w:rsidRPr="00973701">
        <w:rPr>
          <w:rFonts w:ascii="Times New Roman" w:hAnsi="Times New Roman"/>
          <w:iCs/>
          <w:lang w:val="en-US"/>
        </w:rPr>
        <w:t>Policy Studies Journal 2010 </w:t>
      </w:r>
      <w:r w:rsidRPr="00973701">
        <w:rPr>
          <w:rFonts w:ascii="Times New Roman" w:hAnsi="Times New Roman"/>
          <w:lang w:val="en-US"/>
        </w:rPr>
        <w:t>; 38(2): 329-353.</w:t>
      </w:r>
    </w:p>
    <w:p w:rsidR="001E2D4C" w:rsidRPr="00973701" w:rsidRDefault="001E2D4C" w:rsidP="00D71671">
      <w:pPr>
        <w:widowControl w:val="0"/>
        <w:autoSpaceDE w:val="0"/>
        <w:autoSpaceDN w:val="0"/>
        <w:adjustRightInd w:val="0"/>
        <w:spacing w:after="0" w:line="360" w:lineRule="auto"/>
        <w:jc w:val="both"/>
        <w:rPr>
          <w:rFonts w:ascii="Times New Roman" w:eastAsiaTheme="minorEastAsia" w:hAnsi="Times New Roman"/>
          <w:lang w:val="en-US" w:eastAsia="en-US"/>
        </w:rPr>
      </w:pPr>
      <w:r w:rsidRPr="00973701">
        <w:rPr>
          <w:rFonts w:ascii="Times New Roman" w:eastAsiaTheme="minorEastAsia" w:hAnsi="Times New Roman"/>
          <w:lang w:val="en-US" w:eastAsia="en-US"/>
        </w:rPr>
        <w:t xml:space="preserve">[4] </w:t>
      </w:r>
      <w:r w:rsidR="00FE363A" w:rsidRPr="00973701">
        <w:rPr>
          <w:rFonts w:ascii="Times New Roman" w:eastAsiaTheme="minorEastAsia" w:hAnsi="Times New Roman"/>
          <w:lang w:val="en-US" w:eastAsia="en-US"/>
        </w:rPr>
        <w:t>Pavone V, Goven J</w:t>
      </w:r>
      <w:r w:rsidRPr="00973701">
        <w:rPr>
          <w:rFonts w:ascii="Times New Roman" w:eastAsiaTheme="minorEastAsia" w:hAnsi="Times New Roman"/>
          <w:lang w:val="en-US" w:eastAsia="en-US"/>
        </w:rPr>
        <w:t>, Guarino R. From risk assessment to in-context trajectory evaluation - GMOs and their social implications. Environmental Sciences Europe 2011; 23 (3): 1-13</w:t>
      </w:r>
    </w:p>
    <w:p w:rsidR="001E2D4C" w:rsidRPr="00973701" w:rsidRDefault="001E2D4C" w:rsidP="00D71671">
      <w:pPr>
        <w:widowControl w:val="0"/>
        <w:autoSpaceDE w:val="0"/>
        <w:autoSpaceDN w:val="0"/>
        <w:adjustRightInd w:val="0"/>
        <w:spacing w:after="0" w:line="360" w:lineRule="auto"/>
        <w:jc w:val="both"/>
        <w:rPr>
          <w:rFonts w:ascii="Times New Roman" w:eastAsiaTheme="minorEastAsia" w:hAnsi="Times New Roman"/>
          <w:lang w:val="en-US" w:eastAsia="en-US"/>
        </w:rPr>
      </w:pPr>
      <w:r w:rsidRPr="00973701">
        <w:rPr>
          <w:rFonts w:ascii="Times New Roman" w:eastAsiaTheme="minorEastAsia" w:hAnsi="Times New Roman"/>
          <w:lang w:val="en-US" w:eastAsia="en-US"/>
        </w:rPr>
        <w:t xml:space="preserve">[5] European Commission. </w:t>
      </w:r>
      <w:r w:rsidRPr="00973701">
        <w:rPr>
          <w:rFonts w:ascii="Times New Roman" w:eastAsiaTheme="minorEastAsia" w:hAnsi="Times New Roman"/>
          <w:iCs/>
          <w:lang w:val="en-US" w:eastAsia="en-US"/>
        </w:rPr>
        <w:t xml:space="preserve">The Knowledge Based Bio-Economy (KBBE) in Europe: Achievements and Challenges. </w:t>
      </w:r>
      <w:r w:rsidRPr="00973701">
        <w:rPr>
          <w:rFonts w:ascii="Times New Roman" w:eastAsiaTheme="minorEastAsia" w:hAnsi="Times New Roman"/>
          <w:lang w:val="en-US" w:eastAsia="en-US"/>
        </w:rPr>
        <w:t>Clever Consult BVBA; 2010.</w:t>
      </w:r>
    </w:p>
    <w:p w:rsidR="001E2D4C" w:rsidRPr="00973701" w:rsidRDefault="001E2D4C" w:rsidP="00D71671">
      <w:pPr>
        <w:widowControl w:val="0"/>
        <w:autoSpaceDE w:val="0"/>
        <w:autoSpaceDN w:val="0"/>
        <w:adjustRightInd w:val="0"/>
        <w:spacing w:after="0" w:line="360" w:lineRule="auto"/>
        <w:jc w:val="both"/>
        <w:rPr>
          <w:rFonts w:ascii="Times New Roman" w:eastAsiaTheme="minorEastAsia" w:hAnsi="Times New Roman"/>
          <w:lang w:val="en-US" w:eastAsia="en-US"/>
        </w:rPr>
      </w:pPr>
      <w:r w:rsidRPr="00973701">
        <w:rPr>
          <w:rFonts w:ascii="Times New Roman" w:hAnsi="Times New Roman"/>
          <w:lang w:val="en-US"/>
        </w:rPr>
        <w:t xml:space="preserve">[6] </w:t>
      </w:r>
      <w:r w:rsidRPr="00973701">
        <w:rPr>
          <w:rFonts w:ascii="Times New Roman" w:eastAsiaTheme="minorEastAsia" w:hAnsi="Times New Roman"/>
          <w:lang w:val="en-US" w:eastAsia="en-US"/>
        </w:rPr>
        <w:t>OECD. The Bioeconomy to 2030: Designing a Policy Agenda. Paris: OECD International Futures Project; 2009.</w:t>
      </w:r>
    </w:p>
    <w:p w:rsidR="001E2D4C" w:rsidRPr="00973701" w:rsidRDefault="001E2D4C" w:rsidP="00D71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lang w:val="en-US"/>
        </w:rPr>
      </w:pPr>
      <w:r w:rsidRPr="00973701">
        <w:rPr>
          <w:rFonts w:ascii="Times New Roman" w:eastAsiaTheme="minorEastAsia" w:hAnsi="Times New Roman"/>
          <w:lang w:val="en-US" w:eastAsia="en-US"/>
        </w:rPr>
        <w:t xml:space="preserve">[7] </w:t>
      </w:r>
      <w:r w:rsidRPr="00973701">
        <w:rPr>
          <w:rFonts w:ascii="Times New Roman" w:hAnsi="Times New Roman"/>
          <w:lang w:val="en-US"/>
        </w:rPr>
        <w:t xml:space="preserve">Foucault M. The Subject of Power. </w:t>
      </w:r>
      <w:r w:rsidRPr="00973701">
        <w:rPr>
          <w:rFonts w:ascii="Times New Roman" w:hAnsi="Times New Roman"/>
          <w:iCs/>
          <w:lang w:val="en-US"/>
        </w:rPr>
        <w:t>Critical Enquiry 1982 ;</w:t>
      </w:r>
      <w:r w:rsidRPr="00973701">
        <w:rPr>
          <w:rFonts w:ascii="Times New Roman" w:hAnsi="Times New Roman"/>
          <w:lang w:val="en-US"/>
        </w:rPr>
        <w:t xml:space="preserve"> 8(4): 777-795.</w:t>
      </w:r>
    </w:p>
    <w:p w:rsidR="001E2D4C" w:rsidRPr="00973701" w:rsidRDefault="001E2D4C" w:rsidP="00D71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lang w:val="en-US"/>
        </w:rPr>
      </w:pPr>
      <w:r w:rsidRPr="00973701">
        <w:rPr>
          <w:rFonts w:ascii="Times New Roman" w:hAnsi="Times New Roman"/>
          <w:lang w:val="en-US"/>
        </w:rPr>
        <w:t xml:space="preserve">[8] Citton Y. </w:t>
      </w:r>
      <w:r w:rsidRPr="00973701">
        <w:rPr>
          <w:rFonts w:ascii="Times New Roman" w:hAnsi="Times New Roman"/>
          <w:iCs/>
          <w:lang w:val="en-US"/>
        </w:rPr>
        <w:t>Mythocratie: Storytelling et imaginaire de gauche</w:t>
      </w:r>
      <w:r w:rsidRPr="00973701">
        <w:rPr>
          <w:rFonts w:ascii="Times New Roman" w:hAnsi="Times New Roman"/>
          <w:lang w:val="en-US"/>
        </w:rPr>
        <w:t>. Paris: Amsterdam ; 2010.</w:t>
      </w:r>
    </w:p>
    <w:p w:rsidR="00FE363A" w:rsidRPr="00973701" w:rsidRDefault="00FE363A" w:rsidP="00D71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lang w:val="en-US"/>
        </w:rPr>
      </w:pPr>
      <w:r w:rsidRPr="00973701">
        <w:rPr>
          <w:rFonts w:ascii="Times New Roman" w:hAnsi="Times New Roman"/>
          <w:lang w:val="en-US"/>
        </w:rPr>
        <w:t>[9] Muller P,</w:t>
      </w:r>
      <w:r w:rsidR="00EF0B77">
        <w:rPr>
          <w:rFonts w:ascii="Times New Roman" w:hAnsi="Times New Roman"/>
          <w:lang w:val="en-US"/>
        </w:rPr>
        <w:t xml:space="preserve"> </w:t>
      </w:r>
      <w:r w:rsidRPr="00973701">
        <w:rPr>
          <w:rFonts w:ascii="Times New Roman" w:hAnsi="Times New Roman"/>
          <w:lang w:val="en-US"/>
        </w:rPr>
        <w:t xml:space="preserve">Surel Y. </w:t>
      </w:r>
      <w:r w:rsidRPr="00973701">
        <w:rPr>
          <w:rFonts w:ascii="Times New Roman" w:hAnsi="Times New Roman"/>
          <w:iCs/>
          <w:lang w:val="en-US"/>
        </w:rPr>
        <w:t>L'analyse des politiques publiques</w:t>
      </w:r>
      <w:r w:rsidRPr="00973701">
        <w:rPr>
          <w:rFonts w:ascii="Times New Roman" w:hAnsi="Times New Roman"/>
          <w:lang w:val="en-US"/>
        </w:rPr>
        <w:t>. Paris: Montchestien ; 1998.</w:t>
      </w:r>
    </w:p>
    <w:p w:rsidR="001E2D4C" w:rsidRPr="00973701" w:rsidRDefault="00FE363A" w:rsidP="00D71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lang w:val="en-US"/>
        </w:rPr>
      </w:pPr>
      <w:r w:rsidRPr="00973701">
        <w:rPr>
          <w:rFonts w:ascii="Times New Roman" w:hAnsi="Times New Roman"/>
          <w:lang w:val="en-US"/>
        </w:rPr>
        <w:t xml:space="preserve">[10] Claisse F. </w:t>
      </w:r>
      <w:r w:rsidRPr="00973701">
        <w:rPr>
          <w:rFonts w:ascii="Times New Roman" w:eastAsia="Times New Roman" w:hAnsi="Times New Roman"/>
          <w:lang w:val="en-US"/>
        </w:rPr>
        <w:t>Simulacres et Futurs antérieurs: Contributions à une approche narrative du politique. Unpublished PhD thesis. Liège : Université de Liège ; 2012.</w:t>
      </w:r>
    </w:p>
    <w:p w:rsidR="00973701" w:rsidRPr="00973701" w:rsidRDefault="00E54F68" w:rsidP="00D71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lang w:val="en-US"/>
        </w:rPr>
      </w:pPr>
      <w:r w:rsidRPr="00973701">
        <w:rPr>
          <w:rFonts w:ascii="Times New Roman" w:hAnsi="Times New Roman"/>
          <w:lang w:val="en-US"/>
        </w:rPr>
        <w:t xml:space="preserve">[11] Claisse F, Delvenne P. As above so below : narrative salience and side effects of national innovation systems. </w:t>
      </w:r>
      <w:r w:rsidR="00973701" w:rsidRPr="00973701">
        <w:rPr>
          <w:rFonts w:ascii="Times New Roman" w:hAnsi="Times New Roman"/>
          <w:lang w:val="en-US"/>
        </w:rPr>
        <w:t>European Political Science. Forthcoming.</w:t>
      </w:r>
    </w:p>
    <w:p w:rsidR="00E54F68" w:rsidRPr="00973701" w:rsidRDefault="00973701" w:rsidP="00D71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lang w:val="en-US"/>
        </w:rPr>
      </w:pPr>
      <w:r w:rsidRPr="00973701">
        <w:rPr>
          <w:rFonts w:ascii="Times New Roman" w:hAnsi="Times New Roman"/>
          <w:lang w:val="en-US"/>
        </w:rPr>
        <w:t xml:space="preserve">[12] Wullweber J. Nanotechnology — an empty signifier </w:t>
      </w:r>
      <w:r w:rsidRPr="00973701">
        <w:rPr>
          <w:rFonts w:ascii="Times New Roman" w:hAnsi="Times New Roman"/>
          <w:i/>
          <w:lang w:val="en-US"/>
        </w:rPr>
        <w:t>à venir </w:t>
      </w:r>
      <w:r w:rsidRPr="00973701">
        <w:rPr>
          <w:rFonts w:ascii="Times New Roman" w:hAnsi="Times New Roman"/>
          <w:lang w:val="en-US"/>
        </w:rPr>
        <w:t xml:space="preserve">? A delineation of a techno-social-economical innovation strategy. Science, Technology and Innovation Studies 2008 ; 4 (1) : 27-45. </w:t>
      </w:r>
    </w:p>
    <w:p w:rsidR="00973701" w:rsidRPr="00973701" w:rsidRDefault="00973701" w:rsidP="00D71671">
      <w:pPr>
        <w:widowControl w:val="0"/>
        <w:autoSpaceDE w:val="0"/>
        <w:autoSpaceDN w:val="0"/>
        <w:adjustRightInd w:val="0"/>
        <w:spacing w:after="0" w:line="360" w:lineRule="auto"/>
        <w:jc w:val="both"/>
        <w:rPr>
          <w:rFonts w:ascii="Times New Roman" w:eastAsiaTheme="minorEastAsia" w:hAnsi="Times New Roman"/>
          <w:lang w:val="en-US" w:eastAsia="en-US"/>
        </w:rPr>
      </w:pPr>
      <w:r w:rsidRPr="00973701">
        <w:rPr>
          <w:rFonts w:ascii="Times New Roman" w:eastAsiaTheme="minorEastAsia" w:hAnsi="Times New Roman"/>
          <w:lang w:val="en-US" w:eastAsia="en-US"/>
        </w:rPr>
        <w:t>[13] Mirowski P, Sent E. The commercialization of science and the response of STS. In: Hackett E, Amsterdamska O, Lynch M, Wajcman J, editors. Handbook of Science and Technology Studies. 3rd edition. Cambridge: The MIT Press; 2008.</w:t>
      </w:r>
    </w:p>
    <w:p w:rsidR="00802D70" w:rsidRPr="00441966" w:rsidRDefault="00973701" w:rsidP="00441966">
      <w:pPr>
        <w:widowControl w:val="0"/>
        <w:autoSpaceDE w:val="0"/>
        <w:autoSpaceDN w:val="0"/>
        <w:adjustRightInd w:val="0"/>
        <w:spacing w:after="0" w:line="360" w:lineRule="auto"/>
        <w:jc w:val="both"/>
        <w:rPr>
          <w:rFonts w:ascii="Times New Roman" w:eastAsiaTheme="minorEastAsia" w:hAnsi="Times New Roman"/>
          <w:lang w:val="en-US" w:eastAsia="en-US"/>
        </w:rPr>
      </w:pPr>
      <w:r w:rsidRPr="00973701">
        <w:rPr>
          <w:rFonts w:ascii="Times New Roman" w:eastAsiaTheme="minorEastAsia" w:hAnsi="Times New Roman"/>
          <w:lang w:val="en-US" w:eastAsia="en-US"/>
        </w:rPr>
        <w:t>[14] Jasanoff S, Kim SH. Containing the atom: sociotechnical imaginaries and nuclear power in the United States and South Korea. Minerva 2009; 47: 119-146.</w:t>
      </w:r>
    </w:p>
    <w:sectPr w:rsidR="00802D70" w:rsidRPr="00441966" w:rsidSect="00802D70">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71" w:rsidRDefault="00D71671" w:rsidP="00802D70">
      <w:pPr>
        <w:spacing w:after="0"/>
      </w:pPr>
      <w:r>
        <w:separator/>
      </w:r>
    </w:p>
  </w:endnote>
  <w:endnote w:type="continuationSeparator" w:id="0">
    <w:p w:rsidR="00D71671" w:rsidRDefault="00D71671" w:rsidP="00802D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71" w:rsidRDefault="007426CA" w:rsidP="00802D70">
    <w:pPr>
      <w:pStyle w:val="Pieddepage"/>
      <w:framePr w:wrap="around" w:vAnchor="text" w:hAnchor="margin" w:xAlign="right" w:y="1"/>
      <w:rPr>
        <w:rStyle w:val="Numrodepage"/>
      </w:rPr>
    </w:pPr>
    <w:r>
      <w:rPr>
        <w:rStyle w:val="Numrodepage"/>
      </w:rPr>
      <w:fldChar w:fldCharType="begin"/>
    </w:r>
    <w:r w:rsidR="00D71671">
      <w:rPr>
        <w:rStyle w:val="Numrodepage"/>
      </w:rPr>
      <w:instrText xml:space="preserve">PAGE  </w:instrText>
    </w:r>
    <w:r>
      <w:rPr>
        <w:rStyle w:val="Numrodepage"/>
      </w:rPr>
      <w:fldChar w:fldCharType="end"/>
    </w:r>
  </w:p>
  <w:p w:rsidR="00D71671" w:rsidRDefault="00D71671" w:rsidP="00802D70">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71" w:rsidRDefault="007426CA" w:rsidP="00802D70">
    <w:pPr>
      <w:pStyle w:val="Pieddepage"/>
      <w:framePr w:wrap="around" w:vAnchor="text" w:hAnchor="margin" w:xAlign="right" w:y="1"/>
      <w:rPr>
        <w:rStyle w:val="Numrodepage"/>
      </w:rPr>
    </w:pPr>
    <w:r>
      <w:rPr>
        <w:rStyle w:val="Numrodepage"/>
      </w:rPr>
      <w:fldChar w:fldCharType="begin"/>
    </w:r>
    <w:r w:rsidR="00D71671">
      <w:rPr>
        <w:rStyle w:val="Numrodepage"/>
      </w:rPr>
      <w:instrText xml:space="preserve">PAGE  </w:instrText>
    </w:r>
    <w:r>
      <w:rPr>
        <w:rStyle w:val="Numrodepage"/>
      </w:rPr>
      <w:fldChar w:fldCharType="separate"/>
    </w:r>
    <w:r w:rsidR="001D4F85">
      <w:rPr>
        <w:rStyle w:val="Numrodepage"/>
        <w:noProof/>
      </w:rPr>
      <w:t>9</w:t>
    </w:r>
    <w:r>
      <w:rPr>
        <w:rStyle w:val="Numrodepage"/>
      </w:rPr>
      <w:fldChar w:fldCharType="end"/>
    </w:r>
  </w:p>
  <w:p w:rsidR="00D71671" w:rsidRDefault="00D71671" w:rsidP="00802D70">
    <w:pPr>
      <w:pStyle w:val="Pieddepag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71" w:rsidRDefault="00D71671" w:rsidP="00802D70">
      <w:pPr>
        <w:spacing w:after="0"/>
      </w:pPr>
      <w:r>
        <w:separator/>
      </w:r>
    </w:p>
  </w:footnote>
  <w:footnote w:type="continuationSeparator" w:id="0">
    <w:p w:rsidR="00D71671" w:rsidRDefault="00D71671" w:rsidP="00802D70">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AA1"/>
    <w:multiLevelType w:val="hybridMultilevel"/>
    <w:tmpl w:val="94ACF8FE"/>
    <w:lvl w:ilvl="0" w:tplc="06B6C3A8">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hyphenationZone w:val="425"/>
  <w:characterSpacingControl w:val="doNotCompress"/>
  <w:footnotePr>
    <w:footnote w:id="-1"/>
    <w:footnote w:id="0"/>
  </w:footnotePr>
  <w:endnotePr>
    <w:endnote w:id="-1"/>
    <w:endnote w:id="0"/>
  </w:endnotePr>
  <w:compat>
    <w:useFELayout/>
  </w:compat>
  <w:rsids>
    <w:rsidRoot w:val="005602AD"/>
    <w:rsid w:val="00011AA6"/>
    <w:rsid w:val="00067E16"/>
    <w:rsid w:val="00083334"/>
    <w:rsid w:val="0008676D"/>
    <w:rsid w:val="000E5E60"/>
    <w:rsid w:val="000F1817"/>
    <w:rsid w:val="001631ED"/>
    <w:rsid w:val="00184964"/>
    <w:rsid w:val="001A417D"/>
    <w:rsid w:val="001D4F85"/>
    <w:rsid w:val="001E2D4C"/>
    <w:rsid w:val="002B1E83"/>
    <w:rsid w:val="003314DB"/>
    <w:rsid w:val="003C5029"/>
    <w:rsid w:val="00441966"/>
    <w:rsid w:val="004440E7"/>
    <w:rsid w:val="004E2D1F"/>
    <w:rsid w:val="0051271D"/>
    <w:rsid w:val="00537195"/>
    <w:rsid w:val="005602AD"/>
    <w:rsid w:val="00584DCF"/>
    <w:rsid w:val="00596967"/>
    <w:rsid w:val="005F013D"/>
    <w:rsid w:val="00640F79"/>
    <w:rsid w:val="00707D0C"/>
    <w:rsid w:val="007426CA"/>
    <w:rsid w:val="007918FD"/>
    <w:rsid w:val="00802D70"/>
    <w:rsid w:val="008A4526"/>
    <w:rsid w:val="0092654C"/>
    <w:rsid w:val="00973701"/>
    <w:rsid w:val="009B3D02"/>
    <w:rsid w:val="009C2D6D"/>
    <w:rsid w:val="00B12264"/>
    <w:rsid w:val="00B474D1"/>
    <w:rsid w:val="00B63B63"/>
    <w:rsid w:val="00BC1010"/>
    <w:rsid w:val="00BC15FD"/>
    <w:rsid w:val="00BD69C5"/>
    <w:rsid w:val="00BF26A8"/>
    <w:rsid w:val="00C26B77"/>
    <w:rsid w:val="00C3415B"/>
    <w:rsid w:val="00C778E8"/>
    <w:rsid w:val="00C87C0C"/>
    <w:rsid w:val="00C92CA9"/>
    <w:rsid w:val="00C95EFC"/>
    <w:rsid w:val="00D03FBC"/>
    <w:rsid w:val="00D224A0"/>
    <w:rsid w:val="00D32C0D"/>
    <w:rsid w:val="00D71671"/>
    <w:rsid w:val="00DE2C9E"/>
    <w:rsid w:val="00E205E9"/>
    <w:rsid w:val="00E54F68"/>
    <w:rsid w:val="00E936D5"/>
    <w:rsid w:val="00E97AF5"/>
    <w:rsid w:val="00EA79C6"/>
    <w:rsid w:val="00EF0B77"/>
    <w:rsid w:val="00F02B0E"/>
    <w:rsid w:val="00F259E7"/>
    <w:rsid w:val="00FE363A"/>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2AD"/>
    <w:pPr>
      <w:spacing w:after="200"/>
    </w:pPr>
    <w:rPr>
      <w:rFonts w:ascii="Cambria" w:eastAsia="MS ??" w:hAnsi="Cambria" w:cs="Times New Roman"/>
      <w:lang w:val="fr-FR" w:eastAsia="ja-JP"/>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1"/>
    <w:uiPriority w:val="99"/>
    <w:semiHidden/>
    <w:unhideWhenUsed/>
    <w:rsid w:val="002B42DE"/>
    <w:pPr>
      <w:spacing w:after="0"/>
    </w:pPr>
    <w:rPr>
      <w:rFonts w:ascii="Lucida Grande" w:hAnsi="Lucida Grande" w:cs="Lucida Grande"/>
      <w:sz w:val="18"/>
      <w:szCs w:val="18"/>
    </w:rPr>
  </w:style>
  <w:style w:type="character" w:customStyle="1" w:styleId="TextedebullesCar">
    <w:name w:val="Texte de bulles Car"/>
    <w:basedOn w:val="Policepardfaut"/>
    <w:uiPriority w:val="99"/>
    <w:semiHidden/>
    <w:rsid w:val="007F1DEF"/>
    <w:rPr>
      <w:rFonts w:ascii="Lucida Grande" w:hAnsi="Lucida Grande" w:cs="Lucida Grande"/>
      <w:sz w:val="18"/>
      <w:szCs w:val="18"/>
    </w:rPr>
  </w:style>
  <w:style w:type="paragraph" w:styleId="Paragraphedeliste">
    <w:name w:val="List Paragraph"/>
    <w:basedOn w:val="Normal"/>
    <w:uiPriority w:val="34"/>
    <w:qFormat/>
    <w:rsid w:val="008A7AEF"/>
    <w:pPr>
      <w:ind w:left="720"/>
      <w:contextualSpacing/>
    </w:pPr>
  </w:style>
  <w:style w:type="paragraph" w:styleId="Pieddepage">
    <w:name w:val="footer"/>
    <w:basedOn w:val="Normal"/>
    <w:link w:val="PieddepageCar"/>
    <w:uiPriority w:val="99"/>
    <w:unhideWhenUsed/>
    <w:rsid w:val="00C968AD"/>
    <w:pPr>
      <w:tabs>
        <w:tab w:val="center" w:pos="4320"/>
        <w:tab w:val="right" w:pos="8640"/>
      </w:tabs>
      <w:spacing w:after="0"/>
    </w:pPr>
  </w:style>
  <w:style w:type="character" w:customStyle="1" w:styleId="PieddepageCar">
    <w:name w:val="Pied de page Car"/>
    <w:basedOn w:val="Policepardfaut"/>
    <w:link w:val="Pieddepage"/>
    <w:uiPriority w:val="99"/>
    <w:rsid w:val="00C968AD"/>
    <w:rPr>
      <w:rFonts w:ascii="Cambria" w:eastAsia="MS ??" w:hAnsi="Cambria" w:cs="Times New Roman"/>
      <w:lang w:val="fr-FR" w:eastAsia="ja-JP"/>
    </w:rPr>
  </w:style>
  <w:style w:type="character" w:styleId="Numrodepage">
    <w:name w:val="page number"/>
    <w:basedOn w:val="Policepardfaut"/>
    <w:uiPriority w:val="99"/>
    <w:semiHidden/>
    <w:unhideWhenUsed/>
    <w:rsid w:val="00C968AD"/>
  </w:style>
  <w:style w:type="character" w:styleId="Marquedannotation">
    <w:name w:val="annotation reference"/>
    <w:basedOn w:val="Policepardfaut"/>
    <w:uiPriority w:val="99"/>
    <w:semiHidden/>
    <w:unhideWhenUsed/>
    <w:rsid w:val="002B42DE"/>
    <w:rPr>
      <w:sz w:val="18"/>
      <w:szCs w:val="18"/>
    </w:rPr>
  </w:style>
  <w:style w:type="paragraph" w:styleId="Commentaire">
    <w:name w:val="annotation text"/>
    <w:basedOn w:val="Normal"/>
    <w:link w:val="CommentaireCar"/>
    <w:uiPriority w:val="99"/>
    <w:semiHidden/>
    <w:unhideWhenUsed/>
    <w:rsid w:val="002B42DE"/>
    <w:rPr>
      <w:rFonts w:asciiTheme="minorHAnsi" w:eastAsiaTheme="minorHAnsi" w:hAnsiTheme="minorHAnsi" w:cstheme="minorBidi"/>
      <w:lang w:val="en-US" w:eastAsia="en-US"/>
    </w:rPr>
  </w:style>
  <w:style w:type="character" w:customStyle="1" w:styleId="CommentaireCar">
    <w:name w:val="Commentaire Car"/>
    <w:basedOn w:val="Policepardfaut"/>
    <w:link w:val="Commentaire"/>
    <w:uiPriority w:val="99"/>
    <w:semiHidden/>
    <w:rsid w:val="002B42DE"/>
    <w:rPr>
      <w:rFonts w:eastAsiaTheme="minorHAnsi"/>
      <w:lang w:val="en-US"/>
    </w:rPr>
  </w:style>
  <w:style w:type="character" w:customStyle="1" w:styleId="TextedebullesCar1">
    <w:name w:val="Texte de bulles Car1"/>
    <w:basedOn w:val="Policepardfaut"/>
    <w:link w:val="Textedebulles"/>
    <w:uiPriority w:val="99"/>
    <w:semiHidden/>
    <w:rsid w:val="002B42DE"/>
    <w:rPr>
      <w:rFonts w:ascii="Lucida Grande" w:eastAsia="MS ??" w:hAnsi="Lucida Grande" w:cs="Lucida Grande"/>
      <w:sz w:val="18"/>
      <w:szCs w:val="18"/>
      <w:lang w:val="fr-FR" w:eastAsia="ja-JP"/>
    </w:rPr>
  </w:style>
  <w:style w:type="paragraph" w:styleId="Objetducommentaire">
    <w:name w:val="annotation subject"/>
    <w:basedOn w:val="Commentaire"/>
    <w:next w:val="Commentaire"/>
    <w:link w:val="ObjetducommentaireCar"/>
    <w:uiPriority w:val="99"/>
    <w:semiHidden/>
    <w:unhideWhenUsed/>
    <w:rsid w:val="00021E69"/>
    <w:rPr>
      <w:rFonts w:ascii="Cambria" w:eastAsia="MS ??" w:hAnsi="Cambria" w:cs="Times New Roman"/>
      <w:b/>
      <w:bCs/>
      <w:sz w:val="20"/>
      <w:szCs w:val="20"/>
      <w:lang w:val="fr-FR" w:eastAsia="ja-JP"/>
    </w:rPr>
  </w:style>
  <w:style w:type="character" w:customStyle="1" w:styleId="ObjetducommentaireCar">
    <w:name w:val="Objet du commentaire Car"/>
    <w:basedOn w:val="CommentaireCar"/>
    <w:link w:val="Objetducommentaire"/>
    <w:uiPriority w:val="99"/>
    <w:semiHidden/>
    <w:rsid w:val="00021E69"/>
    <w:rPr>
      <w:rFonts w:ascii="Cambria" w:eastAsia="MS ??" w:hAnsi="Cambria" w:cs="Times New Roman"/>
      <w:b/>
      <w:bCs/>
      <w:sz w:val="20"/>
      <w:szCs w:val="20"/>
      <w:lang w:val="fr-FR"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2AD"/>
    <w:pPr>
      <w:spacing w:after="200"/>
    </w:pPr>
    <w:rPr>
      <w:rFonts w:ascii="Cambria" w:eastAsia="MS ??" w:hAnsi="Cambria" w:cs="Times New Roman"/>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2DE"/>
    <w:pPr>
      <w:spacing w:after="0"/>
    </w:pPr>
    <w:rPr>
      <w:rFonts w:ascii="Lucida Grande" w:hAnsi="Lucida Grande" w:cs="Lucida Grande"/>
      <w:sz w:val="18"/>
      <w:szCs w:val="18"/>
    </w:rPr>
  </w:style>
  <w:style w:type="character" w:customStyle="1" w:styleId="TextedebullesCar">
    <w:name w:val="Texte de bulles Car"/>
    <w:basedOn w:val="DefaultParagraphFont"/>
    <w:uiPriority w:val="99"/>
    <w:semiHidden/>
    <w:rsid w:val="007F1DEF"/>
    <w:rPr>
      <w:rFonts w:ascii="Lucida Grande" w:hAnsi="Lucida Grande" w:cs="Lucida Grande"/>
      <w:sz w:val="18"/>
      <w:szCs w:val="18"/>
    </w:rPr>
  </w:style>
  <w:style w:type="paragraph" w:styleId="ListParagraph">
    <w:name w:val="List Paragraph"/>
    <w:basedOn w:val="Normal"/>
    <w:uiPriority w:val="34"/>
    <w:qFormat/>
    <w:rsid w:val="008A7AEF"/>
    <w:pPr>
      <w:ind w:left="720"/>
      <w:contextualSpacing/>
    </w:pPr>
  </w:style>
  <w:style w:type="paragraph" w:styleId="Footer">
    <w:name w:val="footer"/>
    <w:basedOn w:val="Normal"/>
    <w:link w:val="FooterChar"/>
    <w:uiPriority w:val="99"/>
    <w:unhideWhenUsed/>
    <w:rsid w:val="00C968AD"/>
    <w:pPr>
      <w:tabs>
        <w:tab w:val="center" w:pos="4320"/>
        <w:tab w:val="right" w:pos="8640"/>
      </w:tabs>
      <w:spacing w:after="0"/>
    </w:pPr>
  </w:style>
  <w:style w:type="character" w:customStyle="1" w:styleId="FooterChar">
    <w:name w:val="Footer Char"/>
    <w:basedOn w:val="DefaultParagraphFont"/>
    <w:link w:val="Footer"/>
    <w:uiPriority w:val="99"/>
    <w:rsid w:val="00C968AD"/>
    <w:rPr>
      <w:rFonts w:ascii="Cambria" w:eastAsia="MS ??" w:hAnsi="Cambria" w:cs="Times New Roman"/>
      <w:lang w:val="fr-FR" w:eastAsia="ja-JP"/>
    </w:rPr>
  </w:style>
  <w:style w:type="character" w:styleId="PageNumber">
    <w:name w:val="page number"/>
    <w:basedOn w:val="DefaultParagraphFont"/>
    <w:uiPriority w:val="99"/>
    <w:semiHidden/>
    <w:unhideWhenUsed/>
    <w:rsid w:val="00C968AD"/>
  </w:style>
  <w:style w:type="character" w:styleId="CommentReference">
    <w:name w:val="annotation reference"/>
    <w:basedOn w:val="DefaultParagraphFont"/>
    <w:uiPriority w:val="99"/>
    <w:semiHidden/>
    <w:unhideWhenUsed/>
    <w:rsid w:val="002B42DE"/>
    <w:rPr>
      <w:sz w:val="18"/>
      <w:szCs w:val="18"/>
    </w:rPr>
  </w:style>
  <w:style w:type="paragraph" w:styleId="CommentText">
    <w:name w:val="annotation text"/>
    <w:basedOn w:val="Normal"/>
    <w:link w:val="CommentTextChar"/>
    <w:uiPriority w:val="99"/>
    <w:semiHidden/>
    <w:unhideWhenUsed/>
    <w:rsid w:val="002B42DE"/>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2B42DE"/>
    <w:rPr>
      <w:rFonts w:eastAsiaTheme="minorHAnsi"/>
      <w:lang w:val="en-US"/>
    </w:rPr>
  </w:style>
  <w:style w:type="character" w:customStyle="1" w:styleId="BalloonTextChar">
    <w:name w:val="Balloon Text Char"/>
    <w:basedOn w:val="DefaultParagraphFont"/>
    <w:link w:val="BalloonText"/>
    <w:uiPriority w:val="99"/>
    <w:semiHidden/>
    <w:rsid w:val="002B42DE"/>
    <w:rPr>
      <w:rFonts w:ascii="Lucida Grande" w:eastAsia="MS ??" w:hAnsi="Lucida Grande" w:cs="Lucida Grande"/>
      <w:sz w:val="18"/>
      <w:szCs w:val="18"/>
      <w:lang w:val="fr-FR" w:eastAsia="ja-JP"/>
    </w:rPr>
  </w:style>
  <w:style w:type="paragraph" w:styleId="CommentSubject">
    <w:name w:val="annotation subject"/>
    <w:basedOn w:val="CommentText"/>
    <w:next w:val="CommentText"/>
    <w:link w:val="CommentSubjectChar"/>
    <w:uiPriority w:val="99"/>
    <w:semiHidden/>
    <w:unhideWhenUsed/>
    <w:rsid w:val="00021E69"/>
    <w:rPr>
      <w:rFonts w:ascii="Cambria" w:eastAsia="MS ??" w:hAnsi="Cambria" w:cs="Times New Roman"/>
      <w:b/>
      <w:bCs/>
      <w:sz w:val="20"/>
      <w:szCs w:val="20"/>
      <w:lang w:val="fr-FR" w:eastAsia="ja-JP"/>
    </w:rPr>
  </w:style>
  <w:style w:type="character" w:customStyle="1" w:styleId="CommentSubjectChar">
    <w:name w:val="Comment Subject Char"/>
    <w:basedOn w:val="CommentTextChar"/>
    <w:link w:val="CommentSubject"/>
    <w:uiPriority w:val="99"/>
    <w:semiHidden/>
    <w:rsid w:val="00021E69"/>
    <w:rPr>
      <w:rFonts w:ascii="Cambria" w:eastAsia="MS ??" w:hAnsi="Cambria" w:cs="Times New Roman"/>
      <w:b/>
      <w:bCs/>
      <w:sz w:val="20"/>
      <w:szCs w:val="20"/>
      <w:lang w:val="fr-FR"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3187</Words>
  <Characters>18169</Characters>
  <Application>Microsoft Macintosh Word</Application>
  <DocSecurity>0</DocSecurity>
  <Lines>151</Lines>
  <Paragraphs>36</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22312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Delvenne</dc:creator>
  <cp:lastModifiedBy>Kim Hendrickx</cp:lastModifiedBy>
  <cp:revision>2</cp:revision>
  <dcterms:created xsi:type="dcterms:W3CDTF">2013-02-04T11:06:00Z</dcterms:created>
  <dcterms:modified xsi:type="dcterms:W3CDTF">2013-02-04T11:06:00Z</dcterms:modified>
</cp:coreProperties>
</file>