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DA2" w:rsidRPr="0012331D" w:rsidRDefault="00D44DA2">
      <w:pPr>
        <w:rPr>
          <w:lang w:val="fr-FR"/>
        </w:rPr>
      </w:pPr>
      <w:bookmarkStart w:id="0" w:name="_GoBack"/>
      <w:bookmarkEnd w:id="0"/>
    </w:p>
    <w:p w:rsidR="007D67B5" w:rsidRDefault="00464090" w:rsidP="00464090">
      <w:pPr>
        <w:jc w:val="center"/>
        <w:rPr>
          <w:lang w:val="fr-BE"/>
        </w:rPr>
      </w:pPr>
      <w:r>
        <w:rPr>
          <w:lang w:val="fr-BE"/>
        </w:rPr>
        <w:t>Proposition de communication affichée</w:t>
      </w:r>
    </w:p>
    <w:p w:rsidR="00464090" w:rsidRPr="0012331D" w:rsidRDefault="00464090">
      <w:pPr>
        <w:rPr>
          <w:lang w:val="fr-BE"/>
        </w:rPr>
      </w:pPr>
    </w:p>
    <w:p w:rsidR="00D44DA2" w:rsidRPr="0012331D" w:rsidRDefault="00D44DA2">
      <w:pPr>
        <w:rPr>
          <w:lang w:val="fr-BE"/>
        </w:rPr>
      </w:pPr>
    </w:p>
    <w:p w:rsidR="00D44DA2" w:rsidRPr="0012331D" w:rsidRDefault="0012331D" w:rsidP="0041623E">
      <w:pPr>
        <w:tabs>
          <w:tab w:val="num" w:pos="284"/>
        </w:tabs>
        <w:ind w:left="284"/>
        <w:jc w:val="center"/>
        <w:rPr>
          <w:lang w:val="fr-BE"/>
        </w:rPr>
      </w:pPr>
      <w:r>
        <w:rPr>
          <w:lang w:val="fr-BE"/>
        </w:rPr>
        <w:t>Relation entre la réserve cognitive et le métabolisme cérébral au repos dans le vieillissement normal</w:t>
      </w:r>
    </w:p>
    <w:p w:rsidR="00D44DA2" w:rsidRPr="0012331D" w:rsidRDefault="00D44DA2" w:rsidP="0041623E">
      <w:pPr>
        <w:tabs>
          <w:tab w:val="num" w:pos="284"/>
        </w:tabs>
        <w:ind w:left="284"/>
        <w:jc w:val="center"/>
        <w:rPr>
          <w:lang w:val="fr-BE"/>
        </w:rPr>
      </w:pPr>
    </w:p>
    <w:p w:rsidR="00D44DA2" w:rsidRPr="00464090" w:rsidRDefault="00D44DA2" w:rsidP="0041623E">
      <w:pPr>
        <w:jc w:val="center"/>
        <w:rPr>
          <w:lang w:val="fr-BE"/>
        </w:rPr>
      </w:pPr>
      <w:r w:rsidRPr="00464090">
        <w:rPr>
          <w:lang w:val="fr-BE"/>
        </w:rPr>
        <w:t>Christine Bastin</w:t>
      </w:r>
      <w:r w:rsidRPr="00464090">
        <w:rPr>
          <w:vertAlign w:val="superscript"/>
          <w:lang w:val="fr-BE"/>
        </w:rPr>
        <w:t>1</w:t>
      </w:r>
      <w:r w:rsidRPr="00464090">
        <w:rPr>
          <w:lang w:val="fr-BE"/>
        </w:rPr>
        <w:t>, Igor Yakushev</w:t>
      </w:r>
      <w:r w:rsidRPr="00464090">
        <w:rPr>
          <w:vertAlign w:val="superscript"/>
          <w:lang w:val="fr-BE"/>
        </w:rPr>
        <w:t>2</w:t>
      </w:r>
      <w:r w:rsidRPr="00464090">
        <w:rPr>
          <w:lang w:val="fr-BE"/>
        </w:rPr>
        <w:t>, Mohamed Ali Bahri</w:t>
      </w:r>
      <w:r w:rsidRPr="00464090">
        <w:rPr>
          <w:vertAlign w:val="superscript"/>
          <w:lang w:val="fr-BE"/>
        </w:rPr>
        <w:t>1</w:t>
      </w:r>
      <w:r w:rsidRPr="00464090">
        <w:rPr>
          <w:lang w:val="fr-BE"/>
        </w:rPr>
        <w:t>, Andreas Fellgiebel</w:t>
      </w:r>
      <w:r w:rsidRPr="00464090">
        <w:rPr>
          <w:vertAlign w:val="superscript"/>
          <w:lang w:val="fr-BE"/>
        </w:rPr>
        <w:t>3</w:t>
      </w:r>
      <w:r w:rsidRPr="00464090">
        <w:rPr>
          <w:lang w:val="fr-BE"/>
        </w:rPr>
        <w:t>, Brigitte Landeau</w:t>
      </w:r>
      <w:r w:rsidRPr="00464090">
        <w:rPr>
          <w:vertAlign w:val="superscript"/>
          <w:lang w:val="fr-BE"/>
        </w:rPr>
        <w:t>4</w:t>
      </w:r>
      <w:r w:rsidRPr="00464090">
        <w:rPr>
          <w:lang w:val="fr-BE"/>
        </w:rPr>
        <w:t>, Dorothée Feyers</w:t>
      </w:r>
      <w:r w:rsidRPr="00464090">
        <w:rPr>
          <w:vertAlign w:val="superscript"/>
          <w:lang w:val="fr-BE"/>
        </w:rPr>
        <w:t>1</w:t>
      </w:r>
      <w:r w:rsidRPr="00464090">
        <w:rPr>
          <w:lang w:val="fr-BE"/>
        </w:rPr>
        <w:t>, Fabienne Collette</w:t>
      </w:r>
      <w:r w:rsidRPr="00464090">
        <w:rPr>
          <w:vertAlign w:val="superscript"/>
          <w:lang w:val="fr-BE"/>
        </w:rPr>
        <w:t>1</w:t>
      </w:r>
      <w:r w:rsidRPr="00464090">
        <w:rPr>
          <w:lang w:val="fr-BE"/>
        </w:rPr>
        <w:t>, Eric Salmon</w:t>
      </w:r>
      <w:r w:rsidRPr="00464090">
        <w:rPr>
          <w:vertAlign w:val="superscript"/>
          <w:lang w:val="fr-BE"/>
        </w:rPr>
        <w:t>1*</w:t>
      </w:r>
      <w:r w:rsidRPr="00464090">
        <w:rPr>
          <w:lang w:val="fr-BE"/>
        </w:rPr>
        <w:t>&amp; Gael Chételat</w:t>
      </w:r>
      <w:r w:rsidRPr="00464090">
        <w:rPr>
          <w:vertAlign w:val="superscript"/>
          <w:lang w:val="fr-BE"/>
        </w:rPr>
        <w:t>4*</w:t>
      </w:r>
    </w:p>
    <w:p w:rsidR="00D44DA2" w:rsidRPr="00464090" w:rsidRDefault="00D44DA2" w:rsidP="0041623E">
      <w:pPr>
        <w:jc w:val="center"/>
        <w:rPr>
          <w:lang w:val="fr-BE"/>
        </w:rPr>
      </w:pPr>
    </w:p>
    <w:p w:rsidR="00D44DA2" w:rsidRPr="0012331D" w:rsidRDefault="00D44DA2" w:rsidP="0041623E">
      <w:pPr>
        <w:jc w:val="center"/>
        <w:rPr>
          <w:lang w:val="fr-BE"/>
        </w:rPr>
      </w:pPr>
      <w:r w:rsidRPr="0012331D">
        <w:rPr>
          <w:vertAlign w:val="superscript"/>
          <w:lang w:val="fr-BE"/>
        </w:rPr>
        <w:t xml:space="preserve">1 </w:t>
      </w:r>
      <w:r w:rsidRPr="0012331D">
        <w:rPr>
          <w:lang w:val="fr-BE"/>
        </w:rPr>
        <w:t>C</w:t>
      </w:r>
      <w:r w:rsidR="0012331D" w:rsidRPr="0012331D">
        <w:rPr>
          <w:lang w:val="fr-BE"/>
        </w:rPr>
        <w:t>entre de Recherche du C</w:t>
      </w:r>
      <w:r w:rsidRPr="0012331D">
        <w:rPr>
          <w:lang w:val="fr-BE"/>
        </w:rPr>
        <w:t>yclotron, Universit</w:t>
      </w:r>
      <w:r w:rsidR="0012331D" w:rsidRPr="0012331D">
        <w:rPr>
          <w:lang w:val="fr-BE"/>
        </w:rPr>
        <w:t xml:space="preserve">é de </w:t>
      </w:r>
      <w:r w:rsidRPr="0012331D">
        <w:rPr>
          <w:lang w:val="fr-BE"/>
        </w:rPr>
        <w:t>Liège, Belgi</w:t>
      </w:r>
      <w:r w:rsidR="0012331D" w:rsidRPr="0012331D">
        <w:rPr>
          <w:lang w:val="fr-BE"/>
        </w:rPr>
        <w:t>que</w:t>
      </w:r>
    </w:p>
    <w:p w:rsidR="00D44DA2" w:rsidRPr="0012331D" w:rsidRDefault="00D44DA2" w:rsidP="0041623E">
      <w:pPr>
        <w:jc w:val="center"/>
        <w:rPr>
          <w:vertAlign w:val="superscript"/>
          <w:lang w:val="fr-BE"/>
        </w:rPr>
      </w:pPr>
      <w:r w:rsidRPr="0012331D">
        <w:rPr>
          <w:vertAlign w:val="superscript"/>
          <w:lang w:val="fr-BE"/>
        </w:rPr>
        <w:t xml:space="preserve">2 </w:t>
      </w:r>
      <w:r w:rsidR="0012331D" w:rsidRPr="0012331D">
        <w:rPr>
          <w:color w:val="000000"/>
          <w:lang w:val="fr-BE"/>
        </w:rPr>
        <w:t>Dé</w:t>
      </w:r>
      <w:r w:rsidRPr="0012331D">
        <w:rPr>
          <w:color w:val="000000"/>
          <w:lang w:val="fr-BE"/>
        </w:rPr>
        <w:t>part</w:t>
      </w:r>
      <w:r w:rsidR="0012331D" w:rsidRPr="0012331D">
        <w:rPr>
          <w:color w:val="000000"/>
          <w:lang w:val="fr-BE"/>
        </w:rPr>
        <w:t>e</w:t>
      </w:r>
      <w:r w:rsidRPr="0012331D">
        <w:rPr>
          <w:color w:val="000000"/>
          <w:lang w:val="fr-BE"/>
        </w:rPr>
        <w:t xml:space="preserve">ment </w:t>
      </w:r>
      <w:r w:rsidR="0012331D" w:rsidRPr="0012331D">
        <w:rPr>
          <w:color w:val="000000"/>
          <w:lang w:val="fr-BE"/>
        </w:rPr>
        <w:t>de Médecine Nucléaire</w:t>
      </w:r>
      <w:r w:rsidRPr="0012331D">
        <w:rPr>
          <w:color w:val="000000"/>
          <w:lang w:val="fr-BE"/>
        </w:rPr>
        <w:t xml:space="preserve">, </w:t>
      </w:r>
      <w:r w:rsidR="0012331D" w:rsidRPr="0012331D">
        <w:rPr>
          <w:color w:val="000000"/>
          <w:lang w:val="fr-BE"/>
        </w:rPr>
        <w:t xml:space="preserve">Université Technique de </w:t>
      </w:r>
      <w:r w:rsidRPr="0012331D">
        <w:rPr>
          <w:color w:val="000000"/>
          <w:lang w:val="fr-BE"/>
        </w:rPr>
        <w:t xml:space="preserve">Munich, </w:t>
      </w:r>
      <w:r w:rsidR="0012331D">
        <w:rPr>
          <w:color w:val="000000"/>
          <w:lang w:val="fr-BE"/>
        </w:rPr>
        <w:t>Allemagne</w:t>
      </w:r>
    </w:p>
    <w:p w:rsidR="00D44DA2" w:rsidRPr="0012331D" w:rsidRDefault="00D44DA2" w:rsidP="0041623E">
      <w:pPr>
        <w:jc w:val="center"/>
        <w:rPr>
          <w:lang w:val="fr-BE"/>
        </w:rPr>
      </w:pPr>
      <w:r w:rsidRPr="0012331D">
        <w:rPr>
          <w:vertAlign w:val="superscript"/>
          <w:lang w:val="fr-BE"/>
        </w:rPr>
        <w:t>3</w:t>
      </w:r>
      <w:r w:rsidR="0012331D" w:rsidRPr="0012331D">
        <w:rPr>
          <w:color w:val="000000"/>
          <w:lang w:val="fr-BE"/>
        </w:rPr>
        <w:t>Dé</w:t>
      </w:r>
      <w:r w:rsidRPr="0012331D">
        <w:rPr>
          <w:color w:val="000000"/>
          <w:lang w:val="fr-BE"/>
        </w:rPr>
        <w:t>part</w:t>
      </w:r>
      <w:r w:rsidR="0012331D" w:rsidRPr="0012331D">
        <w:rPr>
          <w:color w:val="000000"/>
          <w:lang w:val="fr-BE"/>
        </w:rPr>
        <w:t>e</w:t>
      </w:r>
      <w:r w:rsidRPr="0012331D">
        <w:rPr>
          <w:color w:val="000000"/>
          <w:lang w:val="fr-BE"/>
        </w:rPr>
        <w:t xml:space="preserve">ment </w:t>
      </w:r>
      <w:r w:rsidR="0012331D" w:rsidRPr="0012331D">
        <w:rPr>
          <w:color w:val="000000"/>
          <w:lang w:val="fr-BE"/>
        </w:rPr>
        <w:t>de</w:t>
      </w:r>
      <w:r w:rsidRPr="0012331D">
        <w:rPr>
          <w:color w:val="000000"/>
          <w:lang w:val="fr-BE"/>
        </w:rPr>
        <w:t xml:space="preserve"> Psychiatr</w:t>
      </w:r>
      <w:r w:rsidR="0012331D" w:rsidRPr="0012331D">
        <w:rPr>
          <w:color w:val="000000"/>
          <w:lang w:val="fr-BE"/>
        </w:rPr>
        <w:t>ie</w:t>
      </w:r>
      <w:r w:rsidRPr="0012331D">
        <w:rPr>
          <w:color w:val="000000"/>
          <w:lang w:val="fr-BE"/>
        </w:rPr>
        <w:t xml:space="preserve">, </w:t>
      </w:r>
      <w:r w:rsidR="0012331D">
        <w:rPr>
          <w:color w:val="000000"/>
          <w:lang w:val="fr-BE"/>
        </w:rPr>
        <w:t>Centre Universitaire Médical de Mainz, Allemagne</w:t>
      </w:r>
    </w:p>
    <w:p w:rsidR="00D44DA2" w:rsidRDefault="00D44DA2" w:rsidP="0041623E">
      <w:pPr>
        <w:tabs>
          <w:tab w:val="num" w:pos="284"/>
        </w:tabs>
        <w:ind w:left="284"/>
        <w:jc w:val="center"/>
        <w:rPr>
          <w:color w:val="000000"/>
        </w:rPr>
      </w:pPr>
      <w:r w:rsidRPr="009D13F0">
        <w:rPr>
          <w:vertAlign w:val="superscript"/>
        </w:rPr>
        <w:t xml:space="preserve">4 </w:t>
      </w:r>
      <w:proofErr w:type="spellStart"/>
      <w:r w:rsidRPr="009D13F0">
        <w:rPr>
          <w:color w:val="000000"/>
        </w:rPr>
        <w:t>Inserm</w:t>
      </w:r>
      <w:proofErr w:type="spellEnd"/>
      <w:r w:rsidRPr="009D13F0">
        <w:rPr>
          <w:color w:val="000000"/>
        </w:rPr>
        <w:t>-EPHE-</w:t>
      </w:r>
      <w:proofErr w:type="spellStart"/>
      <w:r w:rsidRPr="009D13F0">
        <w:rPr>
          <w:color w:val="000000"/>
        </w:rPr>
        <w:t>Université</w:t>
      </w:r>
      <w:proofErr w:type="spellEnd"/>
      <w:r w:rsidRPr="009D13F0">
        <w:rPr>
          <w:color w:val="000000"/>
        </w:rPr>
        <w:t xml:space="preserve"> de Caen, Caen, France</w:t>
      </w:r>
    </w:p>
    <w:p w:rsidR="00D44DA2" w:rsidRDefault="00D44DA2" w:rsidP="0041623E">
      <w:pPr>
        <w:tabs>
          <w:tab w:val="num" w:pos="284"/>
        </w:tabs>
        <w:ind w:left="284"/>
        <w:jc w:val="center"/>
        <w:rPr>
          <w:color w:val="000000"/>
        </w:rPr>
      </w:pPr>
      <w:r>
        <w:rPr>
          <w:color w:val="000000"/>
        </w:rPr>
        <w:t xml:space="preserve">(* </w:t>
      </w:r>
      <w:proofErr w:type="spellStart"/>
      <w:r w:rsidR="0012331D">
        <w:rPr>
          <w:color w:val="000000"/>
        </w:rPr>
        <w:t>contribution</w:t>
      </w:r>
      <w:proofErr w:type="spellEnd"/>
      <w:r w:rsidR="0012331D">
        <w:rPr>
          <w:color w:val="000000"/>
        </w:rPr>
        <w:t xml:space="preserve"> </w:t>
      </w:r>
      <w:proofErr w:type="spellStart"/>
      <w:r w:rsidR="0012331D">
        <w:rPr>
          <w:color w:val="000000"/>
        </w:rPr>
        <w:t>équivalente</w:t>
      </w:r>
      <w:proofErr w:type="spellEnd"/>
      <w:r>
        <w:rPr>
          <w:color w:val="000000"/>
        </w:rPr>
        <w:t>)</w:t>
      </w:r>
    </w:p>
    <w:p w:rsidR="00D44DA2" w:rsidRPr="0012331D" w:rsidRDefault="00D44DA2" w:rsidP="0041623E">
      <w:pPr>
        <w:tabs>
          <w:tab w:val="num" w:pos="284"/>
        </w:tabs>
        <w:ind w:left="284"/>
        <w:rPr>
          <w:lang w:val="fr-BE"/>
        </w:rPr>
      </w:pPr>
    </w:p>
    <w:p w:rsidR="00D44DA2" w:rsidRDefault="0012331D" w:rsidP="0012331D">
      <w:pPr>
        <w:tabs>
          <w:tab w:val="num" w:pos="284"/>
        </w:tabs>
        <w:rPr>
          <w:lang w:val="fr-BE"/>
        </w:rPr>
      </w:pPr>
      <w:r w:rsidRPr="0012331D">
        <w:rPr>
          <w:lang w:val="fr-BE"/>
        </w:rPr>
        <w:t>Centre de Recherche</w:t>
      </w:r>
      <w:r>
        <w:rPr>
          <w:lang w:val="fr-BE"/>
        </w:rPr>
        <w:t>s</w:t>
      </w:r>
      <w:r w:rsidRPr="0012331D">
        <w:rPr>
          <w:lang w:val="fr-BE"/>
        </w:rPr>
        <w:t xml:space="preserve"> du Cyclotron, Université de Liège, </w:t>
      </w:r>
      <w:r>
        <w:rPr>
          <w:lang w:val="fr-BE"/>
        </w:rPr>
        <w:t xml:space="preserve">Allée du 6 Août, 6, B30, 4000 Liège, Belgique. Email : </w:t>
      </w:r>
      <w:hyperlink r:id="rId6" w:history="1">
        <w:r w:rsidRPr="00576E89">
          <w:rPr>
            <w:rStyle w:val="Lienhypertexte"/>
            <w:lang w:val="fr-BE"/>
          </w:rPr>
          <w:t>Christine.Bastin@ulg.ac.be</w:t>
        </w:r>
      </w:hyperlink>
    </w:p>
    <w:p w:rsidR="0012331D" w:rsidRPr="0012331D" w:rsidRDefault="0012331D" w:rsidP="0012331D">
      <w:pPr>
        <w:tabs>
          <w:tab w:val="num" w:pos="284"/>
        </w:tabs>
        <w:rPr>
          <w:lang w:val="fr-BE"/>
        </w:rPr>
      </w:pPr>
    </w:p>
    <w:p w:rsidR="0012331D" w:rsidRPr="0012331D" w:rsidRDefault="0012331D" w:rsidP="0041623E">
      <w:pPr>
        <w:tabs>
          <w:tab w:val="num" w:pos="284"/>
        </w:tabs>
        <w:ind w:left="284"/>
        <w:rPr>
          <w:lang w:val="fr-BE"/>
        </w:rPr>
      </w:pPr>
    </w:p>
    <w:p w:rsidR="0012331D" w:rsidRPr="003F02F5" w:rsidRDefault="003F02F5" w:rsidP="0041623E">
      <w:pPr>
        <w:rPr>
          <w:lang w:val="fr-BE"/>
        </w:rPr>
      </w:pPr>
      <w:r w:rsidRPr="003F02F5">
        <w:rPr>
          <w:lang w:val="fr-BE"/>
        </w:rPr>
        <w:t>Il existe une grande hétérogénéité dans l’effet du vieilliss</w:t>
      </w:r>
      <w:r>
        <w:rPr>
          <w:lang w:val="fr-BE"/>
        </w:rPr>
        <w:t>e</w:t>
      </w:r>
      <w:r w:rsidRPr="003F02F5">
        <w:rPr>
          <w:lang w:val="fr-BE"/>
        </w:rPr>
        <w:t>ment normal sur la cognition et le fonctionnement</w:t>
      </w:r>
      <w:r>
        <w:rPr>
          <w:lang w:val="fr-BE"/>
        </w:rPr>
        <w:t xml:space="preserve"> cérébral. Parmi les facteurs qui peuvent contribuer aux différences individuelles au sein de la population âgée, la réserve cognitive désigne la protection partielle contre les effets néfastes du vieillissement dont bénéficient les personnes ayant un niveau d’études élevé et des activités professionnelles et de loisirs stimulantes.</w:t>
      </w:r>
      <w:r w:rsidR="007F4EFC">
        <w:rPr>
          <w:lang w:val="fr-BE"/>
        </w:rPr>
        <w:t xml:space="preserve"> L</w:t>
      </w:r>
      <w:r w:rsidR="00C72649">
        <w:rPr>
          <w:lang w:val="fr-BE"/>
        </w:rPr>
        <w:t>’</w:t>
      </w:r>
      <w:r w:rsidR="007F4EFC">
        <w:rPr>
          <w:lang w:val="fr-BE"/>
        </w:rPr>
        <w:t xml:space="preserve">étude des activations cérébrales reliées à des tâches cognitives chez des personnes âgées suggère que la réserve cognitive se manifeste sous la forme d’une utilisation plus efficace des réseaux neuronaux et/ou d’une plus grande capacité à recruter des réseaux alternatifs pour compenser les changements cérébraux liés à l’âge. Dans cette étude, nous avons examiné les relations entre la réserve cognitive, mesurée par un indice combinant le nombre d’années d’études et les performances de vocabulaire, et le métabolisme cérébral au repos (TEP-FDG) dans un échantillon de 74 personnes âgées. Les résultats montraient que plus l’indice de réserve </w:t>
      </w:r>
      <w:proofErr w:type="gramStart"/>
      <w:r w:rsidR="007F4EFC">
        <w:rPr>
          <w:lang w:val="fr-BE"/>
        </w:rPr>
        <w:t>cognitive était</w:t>
      </w:r>
      <w:proofErr w:type="gramEnd"/>
      <w:r w:rsidR="007F4EFC">
        <w:rPr>
          <w:lang w:val="fr-BE"/>
        </w:rPr>
        <w:t xml:space="preserve"> élevé</w:t>
      </w:r>
      <w:r w:rsidR="00E60DBB">
        <w:rPr>
          <w:lang w:val="fr-BE"/>
        </w:rPr>
        <w:t xml:space="preserve">, plus l’activité métabolique du cortex </w:t>
      </w:r>
      <w:proofErr w:type="spellStart"/>
      <w:r w:rsidR="00E60DBB">
        <w:rPr>
          <w:lang w:val="fr-BE"/>
        </w:rPr>
        <w:t>temporopariétal</w:t>
      </w:r>
      <w:proofErr w:type="spellEnd"/>
      <w:r w:rsidR="00E60DBB">
        <w:rPr>
          <w:lang w:val="fr-BE"/>
        </w:rPr>
        <w:t xml:space="preserve"> postérieur droit et du sillon </w:t>
      </w:r>
      <w:proofErr w:type="spellStart"/>
      <w:r w:rsidR="00E60DBB">
        <w:rPr>
          <w:lang w:val="fr-BE"/>
        </w:rPr>
        <w:t>intrapariétal</w:t>
      </w:r>
      <w:proofErr w:type="spellEnd"/>
      <w:r w:rsidR="00E60DBB">
        <w:rPr>
          <w:lang w:val="fr-BE"/>
        </w:rPr>
        <w:t xml:space="preserve"> antérieur gauche</w:t>
      </w:r>
      <w:r w:rsidR="007F4EFC">
        <w:rPr>
          <w:lang w:val="fr-BE"/>
        </w:rPr>
        <w:t xml:space="preserve"> </w:t>
      </w:r>
      <w:r w:rsidR="00E60DBB">
        <w:rPr>
          <w:lang w:val="fr-BE"/>
        </w:rPr>
        <w:t xml:space="preserve">était basse. Des analyses de connectivité fonctionnelle effectuées sur les images en IRMf au repos dans un sous-groupe de 41 participants indiquaient que ces régions font partie du réseau du mode par défaut et d’un réseau </w:t>
      </w:r>
      <w:proofErr w:type="spellStart"/>
      <w:r w:rsidR="00E60DBB">
        <w:rPr>
          <w:lang w:val="fr-BE"/>
        </w:rPr>
        <w:t>frontopariétal</w:t>
      </w:r>
      <w:proofErr w:type="spellEnd"/>
      <w:r w:rsidR="00E60DBB">
        <w:rPr>
          <w:lang w:val="fr-BE"/>
        </w:rPr>
        <w:t xml:space="preserve"> respectivement.</w:t>
      </w:r>
      <w:r w:rsidR="006D79FF">
        <w:rPr>
          <w:lang w:val="fr-BE"/>
        </w:rPr>
        <w:t xml:space="preserve"> Ces données suggèrent qu’un haut niveau de réserve cognitive est associé à une activité au repos plus faible (plus efficace) dans des régions spécifiques de deux réseaux cérébraux impliqués dans </w:t>
      </w:r>
      <w:r w:rsidR="00C72649">
        <w:rPr>
          <w:lang w:val="fr-BE"/>
        </w:rPr>
        <w:t>les processus mentaux internes (tels que la mémoire autobiographique, la projection dans le futur, la réflexion sur soi) et l’attention dirigée vers un but.</w:t>
      </w:r>
      <w:r w:rsidR="006D79FF">
        <w:rPr>
          <w:lang w:val="fr-BE"/>
        </w:rPr>
        <w:t xml:space="preserve"> </w:t>
      </w:r>
    </w:p>
    <w:p w:rsidR="0012331D" w:rsidRPr="003F02F5" w:rsidRDefault="0012331D" w:rsidP="0041623E">
      <w:pPr>
        <w:rPr>
          <w:lang w:val="fr-BE"/>
        </w:rPr>
      </w:pPr>
    </w:p>
    <w:p w:rsidR="0012331D" w:rsidRPr="00C72649" w:rsidRDefault="0012331D" w:rsidP="0012331D">
      <w:pPr>
        <w:tabs>
          <w:tab w:val="num" w:pos="284"/>
        </w:tabs>
        <w:rPr>
          <w:lang w:val="fr-BE"/>
        </w:rPr>
      </w:pPr>
    </w:p>
    <w:p w:rsidR="0012331D" w:rsidRPr="0012331D" w:rsidRDefault="0012331D" w:rsidP="0012331D">
      <w:pPr>
        <w:tabs>
          <w:tab w:val="num" w:pos="284"/>
        </w:tabs>
        <w:rPr>
          <w:lang w:val="fr-BE"/>
        </w:rPr>
      </w:pPr>
      <w:r w:rsidRPr="0012331D">
        <w:rPr>
          <w:lang w:val="fr-BE"/>
        </w:rPr>
        <w:t>Mots clés: vieillissement normal, r</w:t>
      </w:r>
      <w:r w:rsidR="00C72649">
        <w:rPr>
          <w:lang w:val="fr-BE"/>
        </w:rPr>
        <w:t>é</w:t>
      </w:r>
      <w:r w:rsidRPr="0012331D">
        <w:rPr>
          <w:lang w:val="fr-BE"/>
        </w:rPr>
        <w:t xml:space="preserve">serve cognitive, </w:t>
      </w:r>
      <w:r w:rsidR="00C72649">
        <w:rPr>
          <w:lang w:val="fr-BE"/>
        </w:rPr>
        <w:t>métabolisme cérébral.</w:t>
      </w:r>
    </w:p>
    <w:sectPr w:rsidR="0012331D" w:rsidRPr="0012331D" w:rsidSect="00951A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E71B2"/>
    <w:multiLevelType w:val="hybridMultilevel"/>
    <w:tmpl w:val="AEB00A08"/>
    <w:lvl w:ilvl="0" w:tplc="0DCA413A">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2DB"/>
    <w:rsid w:val="000C3170"/>
    <w:rsid w:val="0012331D"/>
    <w:rsid w:val="001D6E0A"/>
    <w:rsid w:val="00203F80"/>
    <w:rsid w:val="0025645D"/>
    <w:rsid w:val="00385825"/>
    <w:rsid w:val="003A0FE8"/>
    <w:rsid w:val="003F02F5"/>
    <w:rsid w:val="0041623E"/>
    <w:rsid w:val="00464090"/>
    <w:rsid w:val="006A4CD0"/>
    <w:rsid w:val="006D6692"/>
    <w:rsid w:val="006D79FF"/>
    <w:rsid w:val="007D67B5"/>
    <w:rsid w:val="007F265A"/>
    <w:rsid w:val="007F4EFC"/>
    <w:rsid w:val="008625E3"/>
    <w:rsid w:val="00917C4F"/>
    <w:rsid w:val="00951ABB"/>
    <w:rsid w:val="009C507D"/>
    <w:rsid w:val="009D13F0"/>
    <w:rsid w:val="00C72649"/>
    <w:rsid w:val="00CE7D22"/>
    <w:rsid w:val="00D44DA2"/>
    <w:rsid w:val="00DD22DB"/>
    <w:rsid w:val="00E60DBB"/>
    <w:rsid w:val="00FF4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2DB"/>
    <w:rPr>
      <w:rFonts w:ascii="Times New Roman" w:eastAsia="Times New Roman" w:hAnsi="Times New Roman"/>
      <w:sz w:val="24"/>
      <w:szCs w:val="24"/>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8625E3"/>
    <w:rPr>
      <w:rFonts w:ascii="Tahoma" w:hAnsi="Tahoma" w:cs="Tahoma"/>
      <w:sz w:val="16"/>
      <w:szCs w:val="16"/>
    </w:rPr>
  </w:style>
  <w:style w:type="character" w:customStyle="1" w:styleId="TextedebullesCar">
    <w:name w:val="Texte de bulles Car"/>
    <w:basedOn w:val="Policepardfaut"/>
    <w:link w:val="Textedebulles"/>
    <w:uiPriority w:val="99"/>
    <w:semiHidden/>
    <w:rsid w:val="00667600"/>
    <w:rPr>
      <w:rFonts w:ascii="Times New Roman" w:eastAsia="Times New Roman" w:hAnsi="Times New Roman"/>
      <w:sz w:val="0"/>
      <w:szCs w:val="0"/>
      <w:lang w:val="de-DE" w:eastAsia="de-DE"/>
    </w:rPr>
  </w:style>
  <w:style w:type="paragraph" w:styleId="Rvision">
    <w:name w:val="Revision"/>
    <w:hidden/>
    <w:uiPriority w:val="99"/>
    <w:semiHidden/>
    <w:rsid w:val="000C3170"/>
    <w:rPr>
      <w:rFonts w:ascii="Times New Roman" w:eastAsia="Times New Roman" w:hAnsi="Times New Roman"/>
      <w:sz w:val="24"/>
      <w:szCs w:val="24"/>
      <w:lang w:val="de-DE" w:eastAsia="de-DE"/>
    </w:rPr>
  </w:style>
  <w:style w:type="character" w:styleId="Lienhypertexte">
    <w:name w:val="Hyperlink"/>
    <w:basedOn w:val="Policepardfaut"/>
    <w:uiPriority w:val="99"/>
    <w:unhideWhenUsed/>
    <w:rsid w:val="001233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2DB"/>
    <w:rPr>
      <w:rFonts w:ascii="Times New Roman" w:eastAsia="Times New Roman" w:hAnsi="Times New Roman"/>
      <w:sz w:val="24"/>
      <w:szCs w:val="24"/>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8625E3"/>
    <w:rPr>
      <w:rFonts w:ascii="Tahoma" w:hAnsi="Tahoma" w:cs="Tahoma"/>
      <w:sz w:val="16"/>
      <w:szCs w:val="16"/>
    </w:rPr>
  </w:style>
  <w:style w:type="character" w:customStyle="1" w:styleId="TextedebullesCar">
    <w:name w:val="Texte de bulles Car"/>
    <w:basedOn w:val="Policepardfaut"/>
    <w:link w:val="Textedebulles"/>
    <w:uiPriority w:val="99"/>
    <w:semiHidden/>
    <w:rsid w:val="00667600"/>
    <w:rPr>
      <w:rFonts w:ascii="Times New Roman" w:eastAsia="Times New Roman" w:hAnsi="Times New Roman"/>
      <w:sz w:val="0"/>
      <w:szCs w:val="0"/>
      <w:lang w:val="de-DE" w:eastAsia="de-DE"/>
    </w:rPr>
  </w:style>
  <w:style w:type="paragraph" w:styleId="Rvision">
    <w:name w:val="Revision"/>
    <w:hidden/>
    <w:uiPriority w:val="99"/>
    <w:semiHidden/>
    <w:rsid w:val="000C3170"/>
    <w:rPr>
      <w:rFonts w:ascii="Times New Roman" w:eastAsia="Times New Roman" w:hAnsi="Times New Roman"/>
      <w:sz w:val="24"/>
      <w:szCs w:val="24"/>
      <w:lang w:val="de-DE" w:eastAsia="de-DE"/>
    </w:rPr>
  </w:style>
  <w:style w:type="character" w:styleId="Lienhypertexte">
    <w:name w:val="Hyperlink"/>
    <w:basedOn w:val="Policepardfaut"/>
    <w:uiPriority w:val="99"/>
    <w:unhideWhenUsed/>
    <w:rsid w:val="001233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Bastin@ulg.ac.b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417</Words>
  <Characters>2295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Featuredsessionfor AAIC 2012</vt:lpstr>
    </vt:vector>
  </TitlesOfParts>
  <Company>Microsoft</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Featuredsessionfor AAIC 2012</dc:title>
  <dc:creator>Christine</dc:creator>
  <cp:lastModifiedBy>Christine</cp:lastModifiedBy>
  <cp:revision>9</cp:revision>
  <dcterms:created xsi:type="dcterms:W3CDTF">2012-01-24T08:50:00Z</dcterms:created>
  <dcterms:modified xsi:type="dcterms:W3CDTF">2012-02-14T10:24:00Z</dcterms:modified>
</cp:coreProperties>
</file>