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13" w:rsidRDefault="00B90C13" w:rsidP="00802114">
      <w:pPr>
        <w:spacing w:line="360" w:lineRule="auto"/>
        <w:jc w:val="center"/>
        <w:rPr>
          <w:rFonts w:ascii="Times New Roman" w:hAnsi="Times New Roman"/>
          <w:b/>
          <w:sz w:val="28"/>
          <w:szCs w:val="28"/>
          <w:lang w:val="en-GB"/>
        </w:rPr>
      </w:pPr>
    </w:p>
    <w:p w:rsidR="00B90C13" w:rsidRPr="005B31A9" w:rsidRDefault="003D5127" w:rsidP="00802114">
      <w:pPr>
        <w:spacing w:line="360" w:lineRule="auto"/>
        <w:jc w:val="center"/>
        <w:rPr>
          <w:b/>
          <w:sz w:val="28"/>
          <w:szCs w:val="28"/>
          <w:lang w:val="en-GB"/>
        </w:rPr>
      </w:pPr>
      <w:r w:rsidRPr="005B31A9">
        <w:rPr>
          <w:b/>
          <w:sz w:val="28"/>
          <w:szCs w:val="28"/>
          <w:lang w:val="en-GB"/>
        </w:rPr>
        <w:t>A global approach to mutual funds market timing ability</w:t>
      </w:r>
    </w:p>
    <w:p w:rsidR="00802114" w:rsidRPr="002911FC" w:rsidRDefault="00E92DD1" w:rsidP="002911FC">
      <w:pPr>
        <w:spacing w:line="360" w:lineRule="auto"/>
        <w:jc w:val="center"/>
        <w:rPr>
          <w:b/>
          <w:smallCaps/>
          <w:lang w:val="fr-BE"/>
        </w:rPr>
      </w:pPr>
      <w:r w:rsidRPr="00F04530">
        <w:rPr>
          <w:b/>
          <w:smallCaps/>
          <w:lang w:val="fr-BE"/>
        </w:rPr>
        <w:t xml:space="preserve">Laurent </w:t>
      </w:r>
      <w:proofErr w:type="spellStart"/>
      <w:r w:rsidRPr="00F04530">
        <w:rPr>
          <w:b/>
          <w:smallCaps/>
          <w:lang w:val="fr-BE"/>
        </w:rPr>
        <w:t>Bodson</w:t>
      </w:r>
      <w:proofErr w:type="spellEnd"/>
      <w:r w:rsidRPr="005B31A9">
        <w:rPr>
          <w:rStyle w:val="Appelnotedebasdep"/>
          <w:bCs/>
          <w:lang w:val="en-CA"/>
        </w:rPr>
        <w:footnoteReference w:id="1"/>
      </w:r>
      <w:r w:rsidRPr="00F04530">
        <w:rPr>
          <w:b/>
          <w:smallCaps/>
          <w:lang w:val="fr-BE"/>
        </w:rPr>
        <w:t xml:space="preserve">, Laurent </w:t>
      </w:r>
      <w:proofErr w:type="spellStart"/>
      <w:r w:rsidRPr="00F04530">
        <w:rPr>
          <w:b/>
          <w:smallCaps/>
          <w:lang w:val="fr-BE"/>
        </w:rPr>
        <w:t>Cavenaile</w:t>
      </w:r>
      <w:proofErr w:type="spellEnd"/>
      <w:r w:rsidRPr="005B31A9">
        <w:rPr>
          <w:rStyle w:val="Appelnotedebasdep"/>
          <w:b/>
          <w:smallCaps/>
          <w:lang w:val="en-GB"/>
        </w:rPr>
        <w:footnoteReference w:id="2"/>
      </w:r>
      <w:r w:rsidRPr="00F04530">
        <w:rPr>
          <w:b/>
          <w:smallCaps/>
          <w:lang w:val="fr-BE"/>
        </w:rPr>
        <w:t xml:space="preserve"> and Danielle </w:t>
      </w:r>
      <w:proofErr w:type="spellStart"/>
      <w:r w:rsidRPr="00F04530">
        <w:rPr>
          <w:b/>
          <w:smallCaps/>
          <w:lang w:val="fr-BE"/>
        </w:rPr>
        <w:t>Sougné</w:t>
      </w:r>
      <w:proofErr w:type="spellEnd"/>
      <w:r w:rsidRPr="005B31A9">
        <w:rPr>
          <w:rStyle w:val="Appelnotedebasdep"/>
          <w:bCs/>
          <w:lang w:val="en-CA"/>
        </w:rPr>
        <w:footnoteReference w:id="3"/>
      </w:r>
    </w:p>
    <w:p w:rsidR="00802114" w:rsidRPr="00F04530" w:rsidRDefault="00802114" w:rsidP="00802114">
      <w:pPr>
        <w:autoSpaceDE w:val="0"/>
        <w:autoSpaceDN w:val="0"/>
        <w:adjustRightInd w:val="0"/>
        <w:spacing w:line="360" w:lineRule="auto"/>
        <w:jc w:val="both"/>
        <w:rPr>
          <w:bCs/>
          <w:lang w:val="fr-BE"/>
        </w:rPr>
      </w:pPr>
    </w:p>
    <w:p w:rsidR="00802114" w:rsidRDefault="00802114" w:rsidP="00802114">
      <w:pPr>
        <w:autoSpaceDE w:val="0"/>
        <w:autoSpaceDN w:val="0"/>
        <w:adjustRightInd w:val="0"/>
        <w:spacing w:line="360" w:lineRule="auto"/>
        <w:jc w:val="both"/>
        <w:rPr>
          <w:b/>
          <w:bCs/>
          <w:sz w:val="24"/>
          <w:szCs w:val="24"/>
          <w:lang w:val="en-GB"/>
        </w:rPr>
      </w:pPr>
      <w:r w:rsidRPr="005B31A9">
        <w:rPr>
          <w:b/>
          <w:bCs/>
          <w:sz w:val="24"/>
          <w:szCs w:val="24"/>
          <w:lang w:val="en-GB"/>
        </w:rPr>
        <w:t>Abstract</w:t>
      </w:r>
    </w:p>
    <w:p w:rsidR="00AE12C2" w:rsidRPr="00AE12C2" w:rsidRDefault="00AE12C2" w:rsidP="002911FC">
      <w:pPr>
        <w:autoSpaceDE w:val="0"/>
        <w:autoSpaceDN w:val="0"/>
        <w:adjustRightInd w:val="0"/>
        <w:spacing w:after="0" w:line="480" w:lineRule="auto"/>
        <w:jc w:val="both"/>
        <w:rPr>
          <w:bCs/>
          <w:sz w:val="24"/>
          <w:szCs w:val="24"/>
          <w:lang w:val="en-GB"/>
        </w:rPr>
      </w:pPr>
      <w:r>
        <w:rPr>
          <w:bCs/>
          <w:sz w:val="24"/>
          <w:szCs w:val="24"/>
          <w:lang w:val="en-GB"/>
        </w:rPr>
        <w:t>In this paper, we globally investigate market timing abilities of mutual fund managers from the three perspectives: market return, market-wide volatility and aggregate liquidity. We propose a new specification to study market timing. Instead of considering an average market exposure for mutual funds, we allow mutual fund market betas to follow a random walk in the absence of market timing ability. As a consequence, we capture market exposure dynamics which is really due to manager market timing skills while allowing dynamics to come from other sources than market timing. We find that on average 6% of mutual funds display return market timing abilities while this percentage amounts to respectively 13% and 14% for volatility and liquidity market timing. We also analyze market timing by investment strategies and for surviving and dead funds. Dead fund exhibit lower volatility and liquidity timing skills than live funds.</w:t>
      </w:r>
    </w:p>
    <w:p w:rsidR="00802114" w:rsidRPr="005B31A9" w:rsidRDefault="00802114" w:rsidP="00802114">
      <w:pPr>
        <w:spacing w:after="0" w:line="240" w:lineRule="auto"/>
        <w:jc w:val="both"/>
        <w:rPr>
          <w:sz w:val="24"/>
          <w:szCs w:val="24"/>
          <w:lang w:val="en-GB"/>
        </w:rPr>
      </w:pPr>
    </w:p>
    <w:p w:rsidR="00802114" w:rsidRPr="005B31A9" w:rsidRDefault="00802114" w:rsidP="00802114">
      <w:pPr>
        <w:spacing w:line="360" w:lineRule="auto"/>
        <w:jc w:val="both"/>
        <w:rPr>
          <w:iCs/>
          <w:sz w:val="24"/>
          <w:szCs w:val="24"/>
          <w:lang w:val="en-GB"/>
        </w:rPr>
      </w:pPr>
    </w:p>
    <w:p w:rsidR="00802114" w:rsidRPr="005B31A9" w:rsidRDefault="00802114" w:rsidP="00802114">
      <w:pPr>
        <w:spacing w:line="360" w:lineRule="auto"/>
        <w:jc w:val="both"/>
        <w:rPr>
          <w:iCs/>
          <w:sz w:val="24"/>
          <w:szCs w:val="24"/>
          <w:lang w:val="en-US"/>
        </w:rPr>
      </w:pPr>
      <w:r w:rsidRPr="005B31A9">
        <w:rPr>
          <w:b/>
          <w:iCs/>
          <w:sz w:val="24"/>
          <w:szCs w:val="24"/>
          <w:lang w:val="en-GB"/>
        </w:rPr>
        <w:t>Keywords</w:t>
      </w:r>
      <w:r w:rsidRPr="005B31A9">
        <w:rPr>
          <w:iCs/>
          <w:sz w:val="24"/>
          <w:szCs w:val="24"/>
          <w:lang w:val="en-GB"/>
        </w:rPr>
        <w:t xml:space="preserve">: </w:t>
      </w:r>
      <w:r w:rsidR="00AE12C2">
        <w:rPr>
          <w:iCs/>
          <w:sz w:val="24"/>
          <w:szCs w:val="24"/>
          <w:lang w:val="en-GB"/>
        </w:rPr>
        <w:t xml:space="preserve"> Mutual fund, Market timing, market return, volatility, liquidity</w:t>
      </w:r>
    </w:p>
    <w:p w:rsidR="00802114" w:rsidRPr="005B31A9" w:rsidRDefault="00802114" w:rsidP="00802114">
      <w:pPr>
        <w:spacing w:after="0" w:line="240" w:lineRule="auto"/>
        <w:jc w:val="both"/>
        <w:rPr>
          <w:sz w:val="24"/>
          <w:szCs w:val="24"/>
          <w:lang w:val="en-US"/>
        </w:rPr>
      </w:pPr>
    </w:p>
    <w:p w:rsidR="00802114" w:rsidRDefault="00802114" w:rsidP="005B31A9">
      <w:pPr>
        <w:spacing w:line="480" w:lineRule="auto"/>
        <w:jc w:val="both"/>
        <w:rPr>
          <w:sz w:val="24"/>
          <w:szCs w:val="24"/>
          <w:lang w:val="en-US"/>
        </w:rPr>
      </w:pPr>
      <w:r w:rsidRPr="005B31A9">
        <w:rPr>
          <w:sz w:val="28"/>
          <w:szCs w:val="28"/>
          <w:lang w:val="en-US"/>
        </w:rPr>
        <w:br w:type="page"/>
      </w:r>
      <w:r w:rsidR="005B31A9" w:rsidRPr="005B31A9">
        <w:rPr>
          <w:sz w:val="24"/>
          <w:szCs w:val="24"/>
          <w:lang w:val="en-US"/>
        </w:rPr>
        <w:lastRenderedPageBreak/>
        <w:t xml:space="preserve">Since the seminal </w:t>
      </w:r>
      <w:r w:rsidR="0073625C">
        <w:rPr>
          <w:sz w:val="24"/>
          <w:szCs w:val="24"/>
          <w:lang w:val="en-US"/>
        </w:rPr>
        <w:t>paper</w:t>
      </w:r>
      <w:r w:rsidR="005B31A9" w:rsidRPr="005B31A9">
        <w:rPr>
          <w:sz w:val="24"/>
          <w:szCs w:val="24"/>
          <w:lang w:val="en-US"/>
        </w:rPr>
        <w:t xml:space="preserve"> of </w:t>
      </w:r>
      <w:proofErr w:type="spellStart"/>
      <w:r w:rsidR="005B31A9" w:rsidRPr="005B31A9">
        <w:rPr>
          <w:sz w:val="24"/>
          <w:szCs w:val="24"/>
          <w:lang w:val="en-US"/>
        </w:rPr>
        <w:t>Treynor</w:t>
      </w:r>
      <w:proofErr w:type="spellEnd"/>
      <w:r w:rsidR="005B31A9" w:rsidRPr="005B31A9">
        <w:rPr>
          <w:sz w:val="24"/>
          <w:szCs w:val="24"/>
          <w:lang w:val="en-US"/>
        </w:rPr>
        <w:t xml:space="preserve"> and </w:t>
      </w:r>
      <w:proofErr w:type="spellStart"/>
      <w:r w:rsidR="005B31A9" w:rsidRPr="005B31A9">
        <w:rPr>
          <w:sz w:val="24"/>
          <w:szCs w:val="24"/>
          <w:lang w:val="en-US"/>
        </w:rPr>
        <w:t>Mazuy</w:t>
      </w:r>
      <w:proofErr w:type="spellEnd"/>
      <w:r w:rsidR="005B31A9" w:rsidRPr="005B31A9">
        <w:rPr>
          <w:sz w:val="24"/>
          <w:szCs w:val="24"/>
          <w:lang w:val="en-US"/>
        </w:rPr>
        <w:t xml:space="preserve"> (1966), the market timing ability of investment funds managers has been extensively investigated.</w:t>
      </w:r>
      <w:r w:rsidR="002E087D">
        <w:rPr>
          <w:sz w:val="24"/>
          <w:szCs w:val="24"/>
          <w:lang w:val="en-US"/>
        </w:rPr>
        <w:t xml:space="preserve"> Following </w:t>
      </w:r>
      <w:proofErr w:type="spellStart"/>
      <w:r w:rsidR="002E087D">
        <w:rPr>
          <w:sz w:val="24"/>
          <w:szCs w:val="24"/>
          <w:lang w:val="en-US"/>
        </w:rPr>
        <w:t>Treynor</w:t>
      </w:r>
      <w:proofErr w:type="spellEnd"/>
      <w:r w:rsidR="002E087D">
        <w:rPr>
          <w:sz w:val="24"/>
          <w:szCs w:val="24"/>
          <w:lang w:val="en-US"/>
        </w:rPr>
        <w:t xml:space="preserve"> and </w:t>
      </w:r>
      <w:proofErr w:type="spellStart"/>
      <w:r w:rsidR="002E087D">
        <w:rPr>
          <w:sz w:val="24"/>
          <w:szCs w:val="24"/>
          <w:lang w:val="en-US"/>
        </w:rPr>
        <w:t>Mazuy</w:t>
      </w:r>
      <w:proofErr w:type="spellEnd"/>
      <w:r w:rsidR="002E087D">
        <w:rPr>
          <w:sz w:val="24"/>
          <w:szCs w:val="24"/>
          <w:lang w:val="en-US"/>
        </w:rPr>
        <w:t xml:space="preserve"> (1966),</w:t>
      </w:r>
      <w:r w:rsidR="00B4681F">
        <w:rPr>
          <w:sz w:val="24"/>
          <w:szCs w:val="24"/>
          <w:lang w:val="en-US"/>
        </w:rPr>
        <w:t xml:space="preserve"> </w:t>
      </w:r>
      <w:proofErr w:type="spellStart"/>
      <w:r w:rsidR="00B4681F">
        <w:rPr>
          <w:sz w:val="24"/>
          <w:szCs w:val="24"/>
          <w:lang w:val="en-US"/>
        </w:rPr>
        <w:t>Kon</w:t>
      </w:r>
      <w:proofErr w:type="spellEnd"/>
      <w:r w:rsidR="00B4681F">
        <w:rPr>
          <w:sz w:val="24"/>
          <w:szCs w:val="24"/>
          <w:lang w:val="en-US"/>
        </w:rPr>
        <w:t xml:space="preserve"> (1983),</w:t>
      </w:r>
      <w:r w:rsidR="002E087D">
        <w:rPr>
          <w:sz w:val="24"/>
          <w:szCs w:val="24"/>
          <w:lang w:val="en-US"/>
        </w:rPr>
        <w:t xml:space="preserve"> </w:t>
      </w:r>
      <w:proofErr w:type="spellStart"/>
      <w:r w:rsidR="00B4681F">
        <w:rPr>
          <w:sz w:val="24"/>
          <w:szCs w:val="24"/>
          <w:lang w:val="en-US"/>
        </w:rPr>
        <w:t>Henriksson</w:t>
      </w:r>
      <w:proofErr w:type="spellEnd"/>
      <w:r w:rsidR="00B4681F">
        <w:rPr>
          <w:sz w:val="24"/>
          <w:szCs w:val="24"/>
          <w:lang w:val="en-US"/>
        </w:rPr>
        <w:t xml:space="preserve"> (1984), </w:t>
      </w:r>
      <w:r w:rsidR="0028147E">
        <w:rPr>
          <w:sz w:val="24"/>
          <w:szCs w:val="24"/>
          <w:lang w:val="en-US"/>
        </w:rPr>
        <w:t xml:space="preserve">Chang and </w:t>
      </w:r>
      <w:proofErr w:type="spellStart"/>
      <w:r w:rsidR="0028147E">
        <w:rPr>
          <w:sz w:val="24"/>
          <w:szCs w:val="24"/>
          <w:lang w:val="en-US"/>
        </w:rPr>
        <w:t>Lewellen</w:t>
      </w:r>
      <w:proofErr w:type="spellEnd"/>
      <w:r w:rsidR="0028147E">
        <w:rPr>
          <w:sz w:val="24"/>
          <w:szCs w:val="24"/>
          <w:lang w:val="en-US"/>
        </w:rPr>
        <w:t xml:space="preserve"> (1984), Lee and </w:t>
      </w:r>
      <w:proofErr w:type="spellStart"/>
      <w:r w:rsidR="0028147E">
        <w:rPr>
          <w:sz w:val="24"/>
          <w:szCs w:val="24"/>
          <w:lang w:val="en-US"/>
        </w:rPr>
        <w:t>Rahman</w:t>
      </w:r>
      <w:proofErr w:type="spellEnd"/>
      <w:r w:rsidR="0028147E">
        <w:rPr>
          <w:sz w:val="24"/>
          <w:szCs w:val="24"/>
          <w:lang w:val="en-US"/>
        </w:rPr>
        <w:t xml:space="preserve"> (1990)</w:t>
      </w:r>
      <w:r w:rsidR="0044045D">
        <w:rPr>
          <w:sz w:val="24"/>
          <w:szCs w:val="24"/>
          <w:lang w:val="en-US"/>
        </w:rPr>
        <w:t xml:space="preserve">, </w:t>
      </w:r>
      <w:proofErr w:type="spellStart"/>
      <w:r w:rsidR="0044045D">
        <w:rPr>
          <w:sz w:val="24"/>
          <w:szCs w:val="24"/>
          <w:lang w:val="en-US"/>
        </w:rPr>
        <w:t>Bollen</w:t>
      </w:r>
      <w:proofErr w:type="spellEnd"/>
      <w:r w:rsidR="0044045D">
        <w:rPr>
          <w:sz w:val="24"/>
          <w:szCs w:val="24"/>
          <w:lang w:val="en-US"/>
        </w:rPr>
        <w:t xml:space="preserve"> and </w:t>
      </w:r>
      <w:proofErr w:type="spellStart"/>
      <w:r w:rsidR="0044045D">
        <w:rPr>
          <w:sz w:val="24"/>
          <w:szCs w:val="24"/>
          <w:lang w:val="en-US"/>
        </w:rPr>
        <w:t>Busse</w:t>
      </w:r>
      <w:proofErr w:type="spellEnd"/>
      <w:r w:rsidR="0044045D">
        <w:rPr>
          <w:sz w:val="24"/>
          <w:szCs w:val="24"/>
          <w:lang w:val="en-US"/>
        </w:rPr>
        <w:t xml:space="preserve"> (2001)</w:t>
      </w:r>
      <w:r w:rsidR="0073625C">
        <w:rPr>
          <w:sz w:val="24"/>
          <w:szCs w:val="24"/>
          <w:lang w:val="en-US"/>
        </w:rPr>
        <w:t xml:space="preserve"> and Jiang et al. (2007)</w:t>
      </w:r>
      <w:r w:rsidR="00B4681F">
        <w:rPr>
          <w:sz w:val="24"/>
          <w:szCs w:val="24"/>
          <w:lang w:val="en-US"/>
        </w:rPr>
        <w:t xml:space="preserve"> focus on the ability of mutual fund managers to use their prediction about future market returns to </w:t>
      </w:r>
      <w:r w:rsidR="0028147E">
        <w:rPr>
          <w:sz w:val="24"/>
          <w:szCs w:val="24"/>
          <w:lang w:val="en-US"/>
        </w:rPr>
        <w:t>deliver abnormal returns.</w:t>
      </w:r>
      <w:r w:rsidR="00856BEB">
        <w:rPr>
          <w:sz w:val="24"/>
          <w:szCs w:val="24"/>
          <w:lang w:val="en-US"/>
        </w:rPr>
        <w:t xml:space="preserve"> </w:t>
      </w:r>
      <w:r w:rsidR="00C053A6">
        <w:rPr>
          <w:sz w:val="24"/>
          <w:szCs w:val="24"/>
          <w:lang w:val="en-US"/>
        </w:rPr>
        <w:t>As suggested by Cao et al (</w:t>
      </w:r>
      <w:r w:rsidR="00A24EC6">
        <w:rPr>
          <w:sz w:val="24"/>
          <w:szCs w:val="24"/>
          <w:lang w:val="en-US"/>
        </w:rPr>
        <w:t>2011</w:t>
      </w:r>
      <w:r w:rsidR="00C053A6">
        <w:rPr>
          <w:sz w:val="24"/>
          <w:szCs w:val="24"/>
          <w:lang w:val="en-US"/>
        </w:rPr>
        <w:t>), the relative lack of evidence supporting mutual fund managers’</w:t>
      </w:r>
      <w:r w:rsidR="00BD77BC">
        <w:rPr>
          <w:sz w:val="24"/>
          <w:szCs w:val="24"/>
          <w:lang w:val="en-US"/>
        </w:rPr>
        <w:t xml:space="preserve"> market timing skills from the return perspective may be due to </w:t>
      </w:r>
      <w:r w:rsidR="00C053A6">
        <w:rPr>
          <w:sz w:val="24"/>
          <w:szCs w:val="24"/>
          <w:lang w:val="en-US"/>
        </w:rPr>
        <w:t>t</w:t>
      </w:r>
      <w:r w:rsidR="00856BEB">
        <w:rPr>
          <w:sz w:val="24"/>
          <w:szCs w:val="24"/>
          <w:lang w:val="en-US"/>
        </w:rPr>
        <w:t>he difficulty linked to the prediction of future market returns</w:t>
      </w:r>
      <w:r w:rsidR="00BD77BC">
        <w:rPr>
          <w:sz w:val="24"/>
          <w:szCs w:val="24"/>
          <w:lang w:val="en-US"/>
        </w:rPr>
        <w:t xml:space="preserve">. </w:t>
      </w:r>
      <w:r w:rsidR="00C053A6">
        <w:rPr>
          <w:sz w:val="24"/>
          <w:szCs w:val="24"/>
          <w:lang w:val="en-US"/>
        </w:rPr>
        <w:t xml:space="preserve"> </w:t>
      </w:r>
    </w:p>
    <w:p w:rsidR="0044045D" w:rsidRDefault="001C584D" w:rsidP="005B31A9">
      <w:pPr>
        <w:spacing w:line="480" w:lineRule="auto"/>
        <w:jc w:val="both"/>
        <w:rPr>
          <w:sz w:val="24"/>
          <w:szCs w:val="24"/>
          <w:lang w:val="en-US"/>
        </w:rPr>
      </w:pPr>
      <w:r>
        <w:rPr>
          <w:sz w:val="24"/>
          <w:szCs w:val="24"/>
          <w:lang w:val="en-US"/>
        </w:rPr>
        <w:t>Besides return-timing, the literature on the market timing ability of investmen</w:t>
      </w:r>
      <w:r w:rsidR="00377DDB">
        <w:rPr>
          <w:sz w:val="24"/>
          <w:szCs w:val="24"/>
          <w:lang w:val="en-US"/>
        </w:rPr>
        <w:t>t fund managers has al</w:t>
      </w:r>
      <w:r>
        <w:rPr>
          <w:sz w:val="24"/>
          <w:szCs w:val="24"/>
          <w:lang w:val="en-US"/>
        </w:rPr>
        <w:t>s</w:t>
      </w:r>
      <w:r w:rsidR="00377DDB">
        <w:rPr>
          <w:sz w:val="24"/>
          <w:szCs w:val="24"/>
          <w:lang w:val="en-US"/>
        </w:rPr>
        <w:t>o</w:t>
      </w:r>
      <w:r>
        <w:rPr>
          <w:sz w:val="24"/>
          <w:szCs w:val="24"/>
          <w:lang w:val="en-US"/>
        </w:rPr>
        <w:t xml:space="preserve"> recently developed along two other perspectives. On </w:t>
      </w:r>
      <w:r w:rsidR="00377DDB">
        <w:rPr>
          <w:sz w:val="24"/>
          <w:szCs w:val="24"/>
          <w:lang w:val="en-US"/>
        </w:rPr>
        <w:t xml:space="preserve">the one hand, the development of techniques which are relative reliable in predicting return volatility may be used by mutual fund managers to </w:t>
      </w:r>
      <w:r w:rsidR="0048505B">
        <w:rPr>
          <w:sz w:val="24"/>
          <w:szCs w:val="24"/>
          <w:lang w:val="en-US"/>
        </w:rPr>
        <w:t>adjust their market exposure accordingly. In order to protect their performance from higher levels of volatility, they may decide to decrease</w:t>
      </w:r>
      <w:r w:rsidR="00741BCA">
        <w:rPr>
          <w:sz w:val="24"/>
          <w:szCs w:val="24"/>
          <w:lang w:val="en-US"/>
        </w:rPr>
        <w:t xml:space="preserve"> (increase)</w:t>
      </w:r>
      <w:r w:rsidR="0048505B">
        <w:rPr>
          <w:sz w:val="24"/>
          <w:szCs w:val="24"/>
          <w:lang w:val="en-US"/>
        </w:rPr>
        <w:t xml:space="preserve"> their exposure to equities when the market is </w:t>
      </w:r>
      <w:r w:rsidR="00741BCA">
        <w:rPr>
          <w:sz w:val="24"/>
          <w:szCs w:val="24"/>
          <w:lang w:val="en-US"/>
        </w:rPr>
        <w:t>expected to become more (less) volatile</w:t>
      </w:r>
      <w:r w:rsidR="0048505B">
        <w:rPr>
          <w:sz w:val="24"/>
          <w:szCs w:val="24"/>
          <w:lang w:val="en-US"/>
        </w:rPr>
        <w:t xml:space="preserve">. </w:t>
      </w:r>
      <w:r w:rsidR="0076321A">
        <w:rPr>
          <w:sz w:val="24"/>
          <w:szCs w:val="24"/>
          <w:lang w:val="en-US"/>
        </w:rPr>
        <w:t>Using daily data,</w:t>
      </w:r>
      <w:r w:rsidR="0048505B">
        <w:rPr>
          <w:sz w:val="24"/>
          <w:szCs w:val="24"/>
          <w:lang w:val="en-US"/>
        </w:rPr>
        <w:t xml:space="preserve"> </w:t>
      </w:r>
      <w:proofErr w:type="spellStart"/>
      <w:r w:rsidR="0076321A">
        <w:rPr>
          <w:sz w:val="24"/>
          <w:szCs w:val="24"/>
          <w:lang w:val="en-US"/>
        </w:rPr>
        <w:t>Busse</w:t>
      </w:r>
      <w:proofErr w:type="spellEnd"/>
      <w:r w:rsidR="0076321A">
        <w:rPr>
          <w:sz w:val="24"/>
          <w:szCs w:val="24"/>
          <w:lang w:val="en-US"/>
        </w:rPr>
        <w:t xml:space="preserve"> (1999) shows that mutual fund managers tend to </w:t>
      </w:r>
      <w:r w:rsidR="000F1119">
        <w:rPr>
          <w:sz w:val="24"/>
          <w:szCs w:val="24"/>
          <w:lang w:val="en-US"/>
        </w:rPr>
        <w:t>use their volatility timing ability</w:t>
      </w:r>
      <w:r w:rsidR="0076321A">
        <w:rPr>
          <w:sz w:val="24"/>
          <w:szCs w:val="24"/>
          <w:lang w:val="en-US"/>
        </w:rPr>
        <w:t xml:space="preserve"> and that this market timing ability </w:t>
      </w:r>
      <w:r w:rsidR="00F3716D">
        <w:rPr>
          <w:sz w:val="24"/>
          <w:szCs w:val="24"/>
          <w:lang w:val="en-US"/>
        </w:rPr>
        <w:t xml:space="preserve">leads to higher risk-adjusted performance. </w:t>
      </w:r>
    </w:p>
    <w:p w:rsidR="001D614F" w:rsidRDefault="001D614F" w:rsidP="005B31A9">
      <w:pPr>
        <w:spacing w:line="480" w:lineRule="auto"/>
        <w:jc w:val="both"/>
        <w:rPr>
          <w:sz w:val="24"/>
          <w:szCs w:val="24"/>
          <w:lang w:val="en-US"/>
        </w:rPr>
      </w:pPr>
      <w:r>
        <w:rPr>
          <w:sz w:val="24"/>
          <w:szCs w:val="24"/>
          <w:lang w:val="en-US"/>
        </w:rPr>
        <w:t>More recently, Cao et al. (</w:t>
      </w:r>
      <w:r w:rsidR="00A24EC6">
        <w:rPr>
          <w:sz w:val="24"/>
          <w:szCs w:val="24"/>
          <w:lang w:val="en-US"/>
        </w:rPr>
        <w:t>2011</w:t>
      </w:r>
      <w:r>
        <w:rPr>
          <w:sz w:val="24"/>
          <w:szCs w:val="24"/>
          <w:lang w:val="en-US"/>
        </w:rPr>
        <w:t>) have investigated the market timing ability of mutual fund managers from the market-wide liquidity perspective</w:t>
      </w:r>
      <w:r w:rsidR="00F3024B">
        <w:rPr>
          <w:sz w:val="24"/>
          <w:szCs w:val="24"/>
          <w:lang w:val="en-US"/>
        </w:rPr>
        <w:t>.</w:t>
      </w:r>
      <w:r>
        <w:rPr>
          <w:sz w:val="24"/>
          <w:szCs w:val="24"/>
          <w:lang w:val="en-US"/>
        </w:rPr>
        <w:t xml:space="preserve"> They suggest that mutual fund managers may adjust their systematic risk as a function of the level of aggregate liquidity. In times of high liquidity, mutual funds would tend to increase their exposure to the market while they would reduce it when liquidity decreases. </w:t>
      </w:r>
      <w:r w:rsidR="006757BE">
        <w:rPr>
          <w:sz w:val="24"/>
          <w:szCs w:val="24"/>
          <w:lang w:val="en-US"/>
        </w:rPr>
        <w:t xml:space="preserve">They find significant results indicating </w:t>
      </w:r>
      <w:r w:rsidR="006757BE">
        <w:rPr>
          <w:sz w:val="24"/>
          <w:szCs w:val="24"/>
          <w:lang w:val="en-US"/>
        </w:rPr>
        <w:lastRenderedPageBreak/>
        <w:t xml:space="preserve">that mutual fund managers actually decrease their market exposure when aggregate is low supporting the idea that mutual fund managers </w:t>
      </w:r>
      <w:r w:rsidR="000F1119">
        <w:rPr>
          <w:sz w:val="24"/>
          <w:szCs w:val="24"/>
          <w:lang w:val="en-US"/>
        </w:rPr>
        <w:t>have liquidity timing abilities</w:t>
      </w:r>
      <w:r w:rsidR="006757BE">
        <w:rPr>
          <w:sz w:val="24"/>
          <w:szCs w:val="24"/>
          <w:lang w:val="en-US"/>
        </w:rPr>
        <w:t xml:space="preserve">. </w:t>
      </w:r>
    </w:p>
    <w:p w:rsidR="001B30BB" w:rsidRPr="004230D8" w:rsidRDefault="001D7942" w:rsidP="005B31A9">
      <w:pPr>
        <w:spacing w:line="480" w:lineRule="auto"/>
        <w:jc w:val="both"/>
        <w:rPr>
          <w:sz w:val="24"/>
          <w:szCs w:val="24"/>
          <w:lang w:val="en-US"/>
        </w:rPr>
      </w:pPr>
      <w:r>
        <w:rPr>
          <w:sz w:val="24"/>
          <w:szCs w:val="24"/>
          <w:lang w:val="en-US"/>
        </w:rPr>
        <w:t xml:space="preserve">In this context, the goal of our paper is to investigate all three form of market timing within a single analysis and to determine whether mutual fund managers actually possess market timing ability of any kind. </w:t>
      </w:r>
      <w:r w:rsidR="00250F7A" w:rsidRPr="004230D8">
        <w:rPr>
          <w:sz w:val="24"/>
          <w:szCs w:val="24"/>
          <w:lang w:val="en-US"/>
        </w:rPr>
        <w:t>In addition, we propose an alternative specification for the dynamic market exposure of mutual funds. Rather than imposing an average market exposure to each mutual fund as in previous studies, we rel</w:t>
      </w:r>
      <w:r w:rsidR="00FE5537" w:rsidRPr="004230D8">
        <w:rPr>
          <w:sz w:val="24"/>
          <w:szCs w:val="24"/>
          <w:lang w:val="en-US"/>
        </w:rPr>
        <w:t xml:space="preserve">ax this assumption and model </w:t>
      </w:r>
      <w:r w:rsidR="00250F7A" w:rsidRPr="004230D8">
        <w:rPr>
          <w:sz w:val="24"/>
          <w:szCs w:val="24"/>
          <w:lang w:val="en-US"/>
        </w:rPr>
        <w:t xml:space="preserve">the change in market exposure (instead of its value) as a function of forecasted returns, volatility and liquidity. </w:t>
      </w:r>
      <w:r w:rsidR="004230D8">
        <w:rPr>
          <w:sz w:val="24"/>
          <w:szCs w:val="24"/>
          <w:lang w:val="en-US"/>
        </w:rPr>
        <w:t xml:space="preserve">Moreover, following the </w:t>
      </w:r>
      <w:r w:rsidR="007702E2">
        <w:rPr>
          <w:sz w:val="24"/>
          <w:szCs w:val="24"/>
          <w:lang w:val="en-US"/>
        </w:rPr>
        <w:t>approach</w:t>
      </w:r>
      <w:r w:rsidR="004230D8">
        <w:rPr>
          <w:sz w:val="24"/>
          <w:szCs w:val="24"/>
          <w:lang w:val="en-US"/>
        </w:rPr>
        <w:t xml:space="preserve"> suggested by </w:t>
      </w:r>
      <w:proofErr w:type="spellStart"/>
      <w:r w:rsidR="004230D8">
        <w:rPr>
          <w:sz w:val="24"/>
          <w:szCs w:val="24"/>
          <w:lang w:val="en-US"/>
        </w:rPr>
        <w:t>Swinkels</w:t>
      </w:r>
      <w:proofErr w:type="spellEnd"/>
      <w:r w:rsidR="004230D8">
        <w:rPr>
          <w:sz w:val="24"/>
          <w:szCs w:val="24"/>
          <w:lang w:val="en-US"/>
        </w:rPr>
        <w:t xml:space="preserve"> and Van </w:t>
      </w:r>
      <w:proofErr w:type="spellStart"/>
      <w:r w:rsidR="004230D8">
        <w:rPr>
          <w:sz w:val="24"/>
          <w:szCs w:val="24"/>
          <w:lang w:val="en-US"/>
        </w:rPr>
        <w:t>Der</w:t>
      </w:r>
      <w:proofErr w:type="spellEnd"/>
      <w:r w:rsidR="004230D8">
        <w:rPr>
          <w:sz w:val="24"/>
          <w:szCs w:val="24"/>
          <w:lang w:val="en-US"/>
        </w:rPr>
        <w:t xml:space="preserve"> </w:t>
      </w:r>
      <w:proofErr w:type="spellStart"/>
      <w:r w:rsidR="004230D8">
        <w:rPr>
          <w:sz w:val="24"/>
          <w:szCs w:val="24"/>
          <w:lang w:val="en-US"/>
        </w:rPr>
        <w:t>Sluis</w:t>
      </w:r>
      <w:proofErr w:type="spellEnd"/>
      <w:r w:rsidR="004230D8">
        <w:rPr>
          <w:sz w:val="24"/>
          <w:szCs w:val="24"/>
          <w:lang w:val="en-US"/>
        </w:rPr>
        <w:t xml:space="preserve"> (2006), we further allow mutual fund market exposure to follow a random walk in the absence of market timing ability.</w:t>
      </w:r>
      <w:r w:rsidR="007702E2">
        <w:rPr>
          <w:sz w:val="24"/>
          <w:szCs w:val="24"/>
          <w:lang w:val="en-US"/>
        </w:rPr>
        <w:t xml:space="preserve"> The same idea</w:t>
      </w:r>
      <w:r w:rsidR="00C674C6">
        <w:rPr>
          <w:sz w:val="24"/>
          <w:szCs w:val="24"/>
          <w:lang w:val="en-US"/>
        </w:rPr>
        <w:t xml:space="preserve"> is applied by among others</w:t>
      </w:r>
      <w:r w:rsidR="007702E2">
        <w:rPr>
          <w:sz w:val="24"/>
          <w:szCs w:val="24"/>
          <w:lang w:val="en-US"/>
        </w:rPr>
        <w:t xml:space="preserve"> </w:t>
      </w:r>
      <w:proofErr w:type="spellStart"/>
      <w:r w:rsidR="007702E2">
        <w:rPr>
          <w:sz w:val="24"/>
          <w:szCs w:val="24"/>
          <w:lang w:val="en-US"/>
        </w:rPr>
        <w:t>Monarcha</w:t>
      </w:r>
      <w:proofErr w:type="spellEnd"/>
      <w:r w:rsidR="007702E2">
        <w:rPr>
          <w:sz w:val="24"/>
          <w:szCs w:val="24"/>
          <w:lang w:val="en-US"/>
        </w:rPr>
        <w:t xml:space="preserve"> (2009) and </w:t>
      </w:r>
      <w:proofErr w:type="spellStart"/>
      <w:r w:rsidR="007702E2">
        <w:rPr>
          <w:sz w:val="24"/>
          <w:szCs w:val="24"/>
          <w:lang w:val="en-US"/>
        </w:rPr>
        <w:t>Bodson</w:t>
      </w:r>
      <w:proofErr w:type="spellEnd"/>
      <w:r w:rsidR="007702E2">
        <w:rPr>
          <w:sz w:val="24"/>
          <w:szCs w:val="24"/>
          <w:lang w:val="en-US"/>
        </w:rPr>
        <w:t xml:space="preserve"> et al. (2010)</w:t>
      </w:r>
      <w:r w:rsidR="00C674C6">
        <w:rPr>
          <w:sz w:val="24"/>
          <w:szCs w:val="24"/>
          <w:lang w:val="en-US"/>
        </w:rPr>
        <w:t xml:space="preserve"> to study hedge fund style exposures.</w:t>
      </w:r>
      <w:r w:rsidR="004230D8">
        <w:rPr>
          <w:sz w:val="24"/>
          <w:szCs w:val="24"/>
          <w:lang w:val="en-US"/>
        </w:rPr>
        <w:t xml:space="preserve"> In our context, our specification allows the existence of dynamic in market exposure</w:t>
      </w:r>
      <w:r w:rsidR="00C674C6">
        <w:rPr>
          <w:sz w:val="24"/>
          <w:szCs w:val="24"/>
          <w:lang w:val="en-US"/>
        </w:rPr>
        <w:t xml:space="preserve"> and changes in investment strategies</w:t>
      </w:r>
      <w:r w:rsidR="004230D8">
        <w:rPr>
          <w:sz w:val="24"/>
          <w:szCs w:val="24"/>
          <w:lang w:val="en-US"/>
        </w:rPr>
        <w:t xml:space="preserve"> even in the absence of market timing ability</w:t>
      </w:r>
      <w:r w:rsidR="00C674C6">
        <w:rPr>
          <w:sz w:val="24"/>
          <w:szCs w:val="24"/>
          <w:lang w:val="en-US"/>
        </w:rPr>
        <w:t xml:space="preserve">. We use a </w:t>
      </w:r>
      <w:proofErr w:type="spellStart"/>
      <w:r w:rsidR="00C674C6">
        <w:rPr>
          <w:sz w:val="24"/>
          <w:szCs w:val="24"/>
          <w:lang w:val="en-US"/>
        </w:rPr>
        <w:t>Kalman</w:t>
      </w:r>
      <w:proofErr w:type="spellEnd"/>
      <w:r w:rsidR="00C674C6">
        <w:rPr>
          <w:sz w:val="24"/>
          <w:szCs w:val="24"/>
          <w:lang w:val="en-US"/>
        </w:rPr>
        <w:t xml:space="preserve"> filter to estimate the state space representation of our model.</w:t>
      </w:r>
    </w:p>
    <w:p w:rsidR="00741BCA" w:rsidRDefault="00377A27" w:rsidP="005B31A9">
      <w:pPr>
        <w:spacing w:line="480" w:lineRule="auto"/>
        <w:jc w:val="both"/>
        <w:rPr>
          <w:sz w:val="24"/>
          <w:szCs w:val="24"/>
          <w:lang w:val="en-US"/>
        </w:rPr>
      </w:pPr>
      <w:r>
        <w:rPr>
          <w:sz w:val="24"/>
          <w:szCs w:val="24"/>
          <w:lang w:val="en-US"/>
        </w:rPr>
        <w:t>The paper is structured as follow. We first present the data that we use in our empirical analysis. We then define the methodology that we adopt and display the results of the analysis.</w:t>
      </w:r>
    </w:p>
    <w:p w:rsidR="00FE5537" w:rsidRDefault="00FE5537" w:rsidP="005B31A9">
      <w:pPr>
        <w:spacing w:line="480" w:lineRule="auto"/>
        <w:jc w:val="both"/>
        <w:rPr>
          <w:sz w:val="24"/>
          <w:szCs w:val="24"/>
          <w:lang w:val="en-US"/>
        </w:rPr>
      </w:pPr>
    </w:p>
    <w:p w:rsidR="002B16D1" w:rsidRDefault="002B16D1" w:rsidP="005B31A9">
      <w:pPr>
        <w:spacing w:line="480" w:lineRule="auto"/>
        <w:jc w:val="both"/>
        <w:rPr>
          <w:sz w:val="24"/>
          <w:szCs w:val="24"/>
          <w:lang w:val="en-US"/>
        </w:rPr>
      </w:pPr>
    </w:p>
    <w:p w:rsidR="002B16D1" w:rsidRDefault="002B16D1" w:rsidP="005B31A9">
      <w:pPr>
        <w:spacing w:line="480" w:lineRule="auto"/>
        <w:jc w:val="both"/>
        <w:rPr>
          <w:sz w:val="24"/>
          <w:szCs w:val="24"/>
          <w:lang w:val="en-US"/>
        </w:rPr>
      </w:pPr>
    </w:p>
    <w:p w:rsidR="002B16D1" w:rsidRDefault="002B16D1" w:rsidP="005B31A9">
      <w:pPr>
        <w:spacing w:line="480" w:lineRule="auto"/>
        <w:jc w:val="both"/>
        <w:rPr>
          <w:sz w:val="24"/>
          <w:szCs w:val="24"/>
          <w:lang w:val="en-US"/>
        </w:rPr>
      </w:pPr>
    </w:p>
    <w:p w:rsidR="00EB02C4" w:rsidRPr="004230D8" w:rsidRDefault="00C75CED" w:rsidP="005B31A9">
      <w:pPr>
        <w:spacing w:line="480" w:lineRule="auto"/>
        <w:jc w:val="both"/>
        <w:rPr>
          <w:b/>
          <w:sz w:val="28"/>
          <w:szCs w:val="28"/>
          <w:lang w:val="en-US"/>
        </w:rPr>
      </w:pPr>
      <w:r w:rsidRPr="004230D8">
        <w:rPr>
          <w:b/>
          <w:sz w:val="28"/>
          <w:szCs w:val="28"/>
          <w:lang w:val="en-US"/>
        </w:rPr>
        <w:lastRenderedPageBreak/>
        <w:t>Data</w:t>
      </w:r>
    </w:p>
    <w:p w:rsidR="00E348D4" w:rsidRPr="004230D8" w:rsidRDefault="00E348D4" w:rsidP="005B31A9">
      <w:pPr>
        <w:spacing w:line="480" w:lineRule="auto"/>
        <w:jc w:val="both"/>
        <w:rPr>
          <w:i/>
          <w:sz w:val="28"/>
          <w:szCs w:val="28"/>
          <w:u w:val="single"/>
          <w:lang w:val="en-US"/>
        </w:rPr>
      </w:pPr>
      <w:r w:rsidRPr="004230D8">
        <w:rPr>
          <w:i/>
          <w:sz w:val="28"/>
          <w:szCs w:val="28"/>
          <w:u w:val="single"/>
          <w:lang w:val="en-US"/>
        </w:rPr>
        <w:t>Mutual funds</w:t>
      </w:r>
    </w:p>
    <w:p w:rsidR="005D4E2B" w:rsidRDefault="00B46947" w:rsidP="00904F67">
      <w:pPr>
        <w:spacing w:line="480" w:lineRule="auto"/>
        <w:jc w:val="both"/>
        <w:rPr>
          <w:sz w:val="24"/>
          <w:szCs w:val="24"/>
          <w:lang w:val="en-US"/>
        </w:rPr>
      </w:pPr>
      <w:r w:rsidRPr="00904F67">
        <w:rPr>
          <w:sz w:val="24"/>
          <w:szCs w:val="24"/>
          <w:lang w:val="en-US"/>
        </w:rPr>
        <w:t>Mutual fund data are retri</w:t>
      </w:r>
      <w:r w:rsidR="009E3662">
        <w:rPr>
          <w:sz w:val="24"/>
          <w:szCs w:val="24"/>
          <w:lang w:val="en-US"/>
        </w:rPr>
        <w:t>e</w:t>
      </w:r>
      <w:r w:rsidRPr="00904F67">
        <w:rPr>
          <w:sz w:val="24"/>
          <w:szCs w:val="24"/>
          <w:lang w:val="en-US"/>
        </w:rPr>
        <w:t>ved from the CRSP Survival Bias Free Mutual Fund Database</w:t>
      </w:r>
      <w:r w:rsidR="009E3662">
        <w:rPr>
          <w:sz w:val="24"/>
          <w:szCs w:val="24"/>
          <w:lang w:val="en-US"/>
        </w:rPr>
        <w:t xml:space="preserve"> which contains both live and dead mutual funds</w:t>
      </w:r>
      <w:r w:rsidRPr="00904F67">
        <w:rPr>
          <w:sz w:val="24"/>
          <w:szCs w:val="24"/>
          <w:lang w:val="en-US"/>
        </w:rPr>
        <w:t xml:space="preserve">. </w:t>
      </w:r>
      <w:r w:rsidR="00635717" w:rsidRPr="00904F67">
        <w:rPr>
          <w:sz w:val="24"/>
          <w:szCs w:val="24"/>
          <w:lang w:val="en-US"/>
        </w:rPr>
        <w:t xml:space="preserve">We exclusively select mutual funds investing in domestic equity. </w:t>
      </w:r>
      <w:r w:rsidRPr="00904F67">
        <w:rPr>
          <w:sz w:val="24"/>
          <w:szCs w:val="24"/>
          <w:lang w:val="en-US"/>
        </w:rPr>
        <w:t>Following</w:t>
      </w:r>
      <w:r w:rsidR="00635717" w:rsidRPr="00904F67">
        <w:rPr>
          <w:sz w:val="24"/>
          <w:szCs w:val="24"/>
          <w:lang w:val="en-US"/>
        </w:rPr>
        <w:t xml:space="preserve"> Pastor and </w:t>
      </w:r>
      <w:proofErr w:type="spellStart"/>
      <w:r w:rsidR="00635717" w:rsidRPr="00904F67">
        <w:rPr>
          <w:sz w:val="24"/>
          <w:szCs w:val="24"/>
          <w:lang w:val="en-US"/>
        </w:rPr>
        <w:t>Stambaugh</w:t>
      </w:r>
      <w:proofErr w:type="spellEnd"/>
      <w:r w:rsidR="00635717" w:rsidRPr="00904F67">
        <w:rPr>
          <w:sz w:val="24"/>
          <w:szCs w:val="24"/>
          <w:lang w:val="en-US"/>
        </w:rPr>
        <w:t xml:space="preserve"> (2002), we use the Wiesenberger and Strategic Insight objective codes to classify the mutual funds into the same 4 broad investment strategies as Cao et al. (</w:t>
      </w:r>
      <w:r w:rsidR="00A24EC6">
        <w:rPr>
          <w:sz w:val="24"/>
          <w:szCs w:val="24"/>
          <w:lang w:val="en-US"/>
        </w:rPr>
        <w:t>2011</w:t>
      </w:r>
      <w:r w:rsidR="00635717" w:rsidRPr="00904F67">
        <w:rPr>
          <w:sz w:val="24"/>
          <w:szCs w:val="24"/>
          <w:lang w:val="en-US"/>
        </w:rPr>
        <w:t xml:space="preserve">): Aggressive Growth (AGG), Long Term Growth (LTG), Growth and Income (GI) and Income (I). Mutual funds with Wiesenberger codes SCG, AGG and MCG and Strategic Insight codes AGG and SCG are classified as Aggressive Growth funds. Mutual funds with Wiesenberger codes </w:t>
      </w:r>
      <w:r w:rsidR="00635717" w:rsidRPr="00904F67">
        <w:rPr>
          <w:rFonts w:ascii="Calibri" w:eastAsia="Times New Roman" w:hAnsi="Calibri" w:cs="Times New Roman"/>
          <w:color w:val="000000"/>
          <w:sz w:val="24"/>
          <w:szCs w:val="24"/>
          <w:lang w:val="en-US" w:eastAsia="fr-BE"/>
        </w:rPr>
        <w:t xml:space="preserve">G, G-S, S-G, GRO, LTG </w:t>
      </w:r>
      <w:r w:rsidR="00635717" w:rsidRPr="00904F67">
        <w:rPr>
          <w:sz w:val="24"/>
          <w:szCs w:val="24"/>
          <w:lang w:val="en-US"/>
        </w:rPr>
        <w:t xml:space="preserve">and Strategic Insight code GRO are classified as Long Term Growth funds.  Mutual funds with Wiesenberger codes </w:t>
      </w:r>
      <w:r w:rsidR="00635717" w:rsidRPr="00904F67">
        <w:rPr>
          <w:rFonts w:ascii="Calibri" w:eastAsia="Times New Roman" w:hAnsi="Calibri" w:cs="Times New Roman"/>
          <w:color w:val="000000"/>
          <w:sz w:val="24"/>
          <w:szCs w:val="24"/>
          <w:lang w:val="en-US" w:eastAsia="fr-BE"/>
        </w:rPr>
        <w:t>GCI, G-I, G-I-S, G-S-I, I-G, I-G-S, I-S-G, S-G-I, S-I-G, GRI</w:t>
      </w:r>
      <w:r w:rsidR="00635717" w:rsidRPr="00904F67">
        <w:rPr>
          <w:sz w:val="24"/>
          <w:szCs w:val="24"/>
          <w:lang w:val="en-US"/>
        </w:rPr>
        <w:t xml:space="preserve"> and Strategic Insight code GRI are classified as Growth and Income funds. Mutual funds with Wiesenberger codes </w:t>
      </w:r>
      <w:r w:rsidR="00635717" w:rsidRPr="00904F67">
        <w:rPr>
          <w:rFonts w:ascii="Calibri" w:eastAsia="Times New Roman" w:hAnsi="Calibri" w:cs="Times New Roman"/>
          <w:color w:val="000000"/>
          <w:sz w:val="24"/>
          <w:szCs w:val="24"/>
          <w:lang w:val="en-US" w:eastAsia="fr-BE"/>
        </w:rPr>
        <w:t>I, I-S, IEQ, ING</w:t>
      </w:r>
      <w:r w:rsidR="00635717" w:rsidRPr="00904F67">
        <w:rPr>
          <w:sz w:val="24"/>
          <w:szCs w:val="24"/>
          <w:lang w:val="en-US"/>
        </w:rPr>
        <w:t xml:space="preserve"> and Strategic Insight code ING are classified as Income funds.</w:t>
      </w:r>
      <w:r w:rsidR="00DF7725">
        <w:rPr>
          <w:sz w:val="24"/>
          <w:szCs w:val="24"/>
          <w:lang w:val="en-US"/>
        </w:rPr>
        <w:t xml:space="preserve"> We further exclude Exchange Traded Funds which do not make use of any market timing strategy as well as mutual funds with less than one year of returns and </w:t>
      </w:r>
      <w:r w:rsidR="001A2F4A">
        <w:rPr>
          <w:sz w:val="24"/>
          <w:szCs w:val="24"/>
          <w:lang w:val="en-US"/>
        </w:rPr>
        <w:t>multiple share classes of the same fund.</w:t>
      </w:r>
      <w:r w:rsidR="005D4E2B">
        <w:rPr>
          <w:sz w:val="24"/>
          <w:szCs w:val="24"/>
          <w:lang w:val="en-US"/>
        </w:rPr>
        <w:t xml:space="preserve"> In addition, we impose that there is at any time at least 25 mutual funds in </w:t>
      </w:r>
      <w:r w:rsidR="00F12B45">
        <w:rPr>
          <w:sz w:val="24"/>
          <w:szCs w:val="24"/>
          <w:lang w:val="en-US"/>
        </w:rPr>
        <w:t>each fund category. As a result</w:t>
      </w:r>
      <w:r w:rsidR="005D4E2B">
        <w:rPr>
          <w:sz w:val="24"/>
          <w:szCs w:val="24"/>
          <w:lang w:val="en-US"/>
        </w:rPr>
        <w:t>, our database consists of 2780 mutual funds</w:t>
      </w:r>
      <w:r w:rsidR="008456AC">
        <w:rPr>
          <w:sz w:val="24"/>
          <w:szCs w:val="24"/>
          <w:lang w:val="en-US"/>
        </w:rPr>
        <w:t xml:space="preserve"> (among which 1570 are dead funds) with monthly returns between January 1970 and December 2010</w:t>
      </w:r>
      <w:r w:rsidR="00F50D17">
        <w:rPr>
          <w:sz w:val="24"/>
          <w:szCs w:val="24"/>
          <w:lang w:val="en-US"/>
        </w:rPr>
        <w:t>.</w:t>
      </w:r>
      <w:r w:rsidR="00344874">
        <w:rPr>
          <w:sz w:val="24"/>
          <w:szCs w:val="24"/>
          <w:lang w:val="en-US"/>
        </w:rPr>
        <w:t xml:space="preserve"> </w:t>
      </w:r>
      <w:r w:rsidR="0017567F">
        <w:rPr>
          <w:sz w:val="24"/>
          <w:szCs w:val="24"/>
          <w:lang w:val="en-US"/>
        </w:rPr>
        <w:t xml:space="preserve">We create equally weighted portfolios using all the mutual funds in our dataset as well as for the 4 investment categories aforementioned. </w:t>
      </w:r>
      <w:r w:rsidR="008926BF">
        <w:rPr>
          <w:sz w:val="24"/>
          <w:szCs w:val="24"/>
          <w:lang w:val="en-US"/>
        </w:rPr>
        <w:t xml:space="preserve">Descriptive statistics are reported in Table 1. </w:t>
      </w:r>
    </w:p>
    <w:p w:rsidR="00EE6ADC" w:rsidRDefault="00EE6ADC" w:rsidP="00904F67">
      <w:pPr>
        <w:spacing w:line="480" w:lineRule="auto"/>
        <w:jc w:val="both"/>
        <w:rPr>
          <w:sz w:val="24"/>
          <w:szCs w:val="24"/>
          <w:lang w:val="en-US"/>
        </w:rPr>
      </w:pPr>
    </w:p>
    <w:p w:rsidR="00EE6ADC" w:rsidRDefault="00EE6ADC" w:rsidP="00904F67">
      <w:pPr>
        <w:spacing w:line="480" w:lineRule="auto"/>
        <w:jc w:val="both"/>
        <w:rPr>
          <w:sz w:val="24"/>
          <w:szCs w:val="24"/>
          <w:lang w:val="en-US"/>
        </w:rPr>
      </w:pPr>
      <w:r>
        <w:rPr>
          <w:sz w:val="24"/>
          <w:szCs w:val="24"/>
          <w:lang w:val="en-US"/>
        </w:rPr>
        <w:lastRenderedPageBreak/>
        <w:t>Table 1: Mutual funds descriptive statistics</w:t>
      </w:r>
    </w:p>
    <w:tbl>
      <w:tblPr>
        <w:tblW w:w="8620" w:type="dxa"/>
        <w:jc w:val="center"/>
        <w:tblInd w:w="53" w:type="dxa"/>
        <w:tblCellMar>
          <w:left w:w="70" w:type="dxa"/>
          <w:right w:w="70" w:type="dxa"/>
        </w:tblCellMar>
        <w:tblLook w:val="04A0"/>
      </w:tblPr>
      <w:tblGrid>
        <w:gridCol w:w="1577"/>
        <w:gridCol w:w="1275"/>
        <w:gridCol w:w="968"/>
        <w:gridCol w:w="1200"/>
        <w:gridCol w:w="1200"/>
        <w:gridCol w:w="1200"/>
        <w:gridCol w:w="1200"/>
      </w:tblGrid>
      <w:tr w:rsidR="00C643D2" w:rsidRPr="00C643D2" w:rsidTr="00326112">
        <w:trPr>
          <w:trHeight w:val="315"/>
          <w:jc w:val="center"/>
        </w:trPr>
        <w:tc>
          <w:tcPr>
            <w:tcW w:w="1577" w:type="dxa"/>
            <w:tcBorders>
              <w:top w:val="nil"/>
              <w:left w:val="nil"/>
              <w:bottom w:val="single" w:sz="4" w:space="0" w:color="auto"/>
              <w:right w:val="nil"/>
            </w:tcBorders>
            <w:shd w:val="clear" w:color="auto" w:fill="auto"/>
            <w:noWrap/>
            <w:vAlign w:val="bottom"/>
            <w:hideMark/>
          </w:tcPr>
          <w:p w:rsidR="00C643D2" w:rsidRPr="000B3A5A" w:rsidRDefault="00C643D2" w:rsidP="00C643D2">
            <w:pPr>
              <w:spacing w:after="0" w:line="240" w:lineRule="auto"/>
              <w:jc w:val="center"/>
              <w:rPr>
                <w:rFonts w:ascii="Calibri" w:eastAsia="Times New Roman" w:hAnsi="Calibri" w:cs="Times New Roman"/>
                <w:color w:val="000000"/>
                <w:sz w:val="24"/>
                <w:szCs w:val="24"/>
                <w:lang w:val="en-US" w:eastAsia="fr-BE"/>
              </w:rPr>
            </w:pPr>
            <w:r w:rsidRPr="000B3A5A">
              <w:rPr>
                <w:rFonts w:ascii="Calibri" w:eastAsia="Times New Roman" w:hAnsi="Calibri" w:cs="Times New Roman"/>
                <w:color w:val="000000"/>
                <w:sz w:val="24"/>
                <w:szCs w:val="24"/>
                <w:lang w:val="en-US" w:eastAsia="fr-BE"/>
              </w:rPr>
              <w:t> </w:t>
            </w:r>
          </w:p>
        </w:tc>
        <w:tc>
          <w:tcPr>
            <w:tcW w:w="1275"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 xml:space="preserve">Nb of </w:t>
            </w:r>
            <w:proofErr w:type="spellStart"/>
            <w:r w:rsidRPr="00C643D2">
              <w:rPr>
                <w:rFonts w:ascii="Calibri" w:eastAsia="Times New Roman" w:hAnsi="Calibri" w:cs="Times New Roman"/>
                <w:color w:val="000000"/>
                <w:sz w:val="24"/>
                <w:szCs w:val="24"/>
                <w:lang w:val="fr-BE" w:eastAsia="fr-BE"/>
              </w:rPr>
              <w:t>funds</w:t>
            </w:r>
            <w:proofErr w:type="spellEnd"/>
          </w:p>
        </w:tc>
        <w:tc>
          <w:tcPr>
            <w:tcW w:w="968"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roofErr w:type="spellStart"/>
            <w:r w:rsidRPr="00C643D2">
              <w:rPr>
                <w:rFonts w:ascii="Calibri" w:eastAsia="Times New Roman" w:hAnsi="Calibri" w:cs="Times New Roman"/>
                <w:color w:val="000000"/>
                <w:sz w:val="24"/>
                <w:szCs w:val="24"/>
                <w:lang w:val="fr-BE" w:eastAsia="fr-BE"/>
              </w:rPr>
              <w:t>Mean</w:t>
            </w:r>
            <w:proofErr w:type="spellEnd"/>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roofErr w:type="spellStart"/>
            <w:r w:rsidRPr="00C643D2">
              <w:rPr>
                <w:rFonts w:ascii="Calibri" w:eastAsia="Times New Roman" w:hAnsi="Calibri" w:cs="Times New Roman"/>
                <w:color w:val="000000"/>
                <w:sz w:val="24"/>
                <w:szCs w:val="24"/>
                <w:lang w:val="fr-BE" w:eastAsia="fr-BE"/>
              </w:rPr>
              <w:t>Median</w:t>
            </w:r>
            <w:proofErr w:type="spellEnd"/>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 xml:space="preserve">St. </w:t>
            </w:r>
            <w:proofErr w:type="spellStart"/>
            <w:r w:rsidRPr="00C643D2">
              <w:rPr>
                <w:rFonts w:ascii="Calibri" w:eastAsia="Times New Roman" w:hAnsi="Calibri" w:cs="Times New Roman"/>
                <w:color w:val="000000"/>
                <w:sz w:val="24"/>
                <w:szCs w:val="24"/>
                <w:lang w:val="fr-BE" w:eastAsia="fr-BE"/>
              </w:rPr>
              <w:t>Dev</w:t>
            </w:r>
            <w:proofErr w:type="spellEnd"/>
            <w:r w:rsidRPr="00C643D2">
              <w:rPr>
                <w:rFonts w:ascii="Calibri" w:eastAsia="Times New Roman" w:hAnsi="Calibri" w:cs="Times New Roman"/>
                <w:color w:val="000000"/>
                <w:sz w:val="24"/>
                <w:szCs w:val="24"/>
                <w:lang w:val="fr-BE" w:eastAsia="fr-BE"/>
              </w:rPr>
              <w:t>.</w:t>
            </w:r>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Min</w:t>
            </w:r>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Max</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Default="00C643D2" w:rsidP="00C643D2">
            <w:pPr>
              <w:spacing w:after="0" w:line="240" w:lineRule="auto"/>
              <w:rPr>
                <w:rFonts w:ascii="Calibri" w:eastAsia="Times New Roman" w:hAnsi="Calibri" w:cs="Times New Roman"/>
                <w:color w:val="000000"/>
                <w:sz w:val="24"/>
                <w:szCs w:val="24"/>
                <w:lang w:val="fr-BE" w:eastAsia="fr-BE"/>
              </w:rPr>
            </w:pPr>
          </w:p>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Total</w:t>
            </w:r>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2780</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0.81%</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1.08%</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3.90%</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-16.90%</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13.22%</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proofErr w:type="spellStart"/>
            <w:r w:rsidRPr="00C643D2">
              <w:rPr>
                <w:rFonts w:ascii="Calibri" w:eastAsia="Times New Roman" w:hAnsi="Calibri" w:cs="Times New Roman"/>
                <w:color w:val="000000"/>
                <w:sz w:val="24"/>
                <w:szCs w:val="24"/>
                <w:lang w:val="fr-BE" w:eastAsia="fr-BE"/>
              </w:rPr>
              <w:t>Surviving</w:t>
            </w:r>
            <w:proofErr w:type="spellEnd"/>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1570</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0.87%</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1.11%</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3.87%</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-16.86%</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13.42%</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Non-</w:t>
            </w:r>
            <w:proofErr w:type="spellStart"/>
            <w:r w:rsidRPr="00C643D2">
              <w:rPr>
                <w:rFonts w:ascii="Calibri" w:eastAsia="Times New Roman" w:hAnsi="Calibri" w:cs="Times New Roman"/>
                <w:color w:val="000000"/>
                <w:sz w:val="24"/>
                <w:szCs w:val="24"/>
                <w:lang w:val="fr-BE" w:eastAsia="fr-BE"/>
              </w:rPr>
              <w:t>surviving</w:t>
            </w:r>
            <w:proofErr w:type="spellEnd"/>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1210</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0.71%</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1.00%</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4.02%</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-17.28%</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12.96%</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AGG</w:t>
            </w:r>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544</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0.99%</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1.44%</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5.33%</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-23.13%</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16.51%</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LTG</w:t>
            </w:r>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1145</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0.85%</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1.22%</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4.66%</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-22.99%</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15.17%</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GI</w:t>
            </w:r>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540</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0.81%</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1.10%</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3.79%</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-16.84%</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12.54%</w:t>
            </w:r>
          </w:p>
        </w:tc>
      </w:tr>
      <w:tr w:rsidR="00C643D2" w:rsidRPr="00C643D2" w:rsidTr="00326112">
        <w:trPr>
          <w:trHeight w:val="476"/>
          <w:jc w:val="center"/>
        </w:trPr>
        <w:tc>
          <w:tcPr>
            <w:tcW w:w="1577"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I</w:t>
            </w:r>
          </w:p>
        </w:tc>
        <w:tc>
          <w:tcPr>
            <w:tcW w:w="1275"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551</w:t>
            </w:r>
          </w:p>
        </w:tc>
        <w:tc>
          <w:tcPr>
            <w:tcW w:w="968"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0.68%</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0.77%</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2.05%</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-10.43%</w:t>
            </w:r>
          </w:p>
        </w:tc>
        <w:tc>
          <w:tcPr>
            <w:tcW w:w="1200" w:type="dxa"/>
            <w:tcBorders>
              <w:top w:val="nil"/>
              <w:left w:val="nil"/>
              <w:bottom w:val="nil"/>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r w:rsidRPr="00C643D2">
              <w:rPr>
                <w:rFonts w:ascii="Calibri" w:eastAsia="Times New Roman" w:hAnsi="Calibri" w:cs="Times New Roman"/>
                <w:color w:val="000000"/>
                <w:sz w:val="24"/>
                <w:szCs w:val="24"/>
                <w:lang w:val="fr-BE" w:eastAsia="fr-BE"/>
              </w:rPr>
              <w:t>7.82%</w:t>
            </w:r>
          </w:p>
        </w:tc>
      </w:tr>
      <w:tr w:rsidR="00C643D2" w:rsidRPr="00C643D2" w:rsidTr="00326112">
        <w:trPr>
          <w:trHeight w:val="510"/>
          <w:jc w:val="center"/>
        </w:trPr>
        <w:tc>
          <w:tcPr>
            <w:tcW w:w="1577"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
        </w:tc>
        <w:tc>
          <w:tcPr>
            <w:tcW w:w="968"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single" w:sz="4" w:space="0" w:color="auto"/>
              <w:right w:val="nil"/>
            </w:tcBorders>
            <w:shd w:val="clear" w:color="auto" w:fill="auto"/>
            <w:noWrap/>
            <w:vAlign w:val="bottom"/>
            <w:hideMark/>
          </w:tcPr>
          <w:p w:rsidR="00C643D2" w:rsidRPr="00C643D2" w:rsidRDefault="00C643D2" w:rsidP="00C643D2">
            <w:pPr>
              <w:spacing w:after="0" w:line="240" w:lineRule="auto"/>
              <w:jc w:val="center"/>
              <w:rPr>
                <w:rFonts w:ascii="Calibri" w:eastAsia="Times New Roman" w:hAnsi="Calibri" w:cs="Times New Roman"/>
                <w:color w:val="000000"/>
                <w:sz w:val="24"/>
                <w:szCs w:val="24"/>
                <w:lang w:val="fr-BE" w:eastAsia="fr-BE"/>
              </w:rPr>
            </w:pPr>
          </w:p>
        </w:tc>
      </w:tr>
    </w:tbl>
    <w:p w:rsidR="002B16D1" w:rsidRDefault="002B16D1" w:rsidP="00904F67">
      <w:pPr>
        <w:spacing w:line="480" w:lineRule="auto"/>
        <w:jc w:val="both"/>
        <w:rPr>
          <w:sz w:val="24"/>
          <w:szCs w:val="24"/>
          <w:lang w:val="en-US"/>
        </w:rPr>
      </w:pPr>
    </w:p>
    <w:p w:rsidR="00E348D4" w:rsidRDefault="00E348D4" w:rsidP="00904F67">
      <w:pPr>
        <w:spacing w:line="480" w:lineRule="auto"/>
        <w:jc w:val="both"/>
        <w:rPr>
          <w:i/>
          <w:sz w:val="28"/>
          <w:szCs w:val="28"/>
          <w:u w:val="single"/>
          <w:lang w:val="en-US"/>
        </w:rPr>
      </w:pPr>
      <w:r>
        <w:rPr>
          <w:i/>
          <w:sz w:val="28"/>
          <w:szCs w:val="28"/>
          <w:u w:val="single"/>
          <w:lang w:val="en-US"/>
        </w:rPr>
        <w:t>Risk factors</w:t>
      </w:r>
      <w:r w:rsidR="00B841A4">
        <w:rPr>
          <w:i/>
          <w:sz w:val="28"/>
          <w:szCs w:val="28"/>
          <w:u w:val="single"/>
          <w:lang w:val="en-US"/>
        </w:rPr>
        <w:t>, variance</w:t>
      </w:r>
      <w:r w:rsidR="00DF39BC">
        <w:rPr>
          <w:i/>
          <w:sz w:val="28"/>
          <w:szCs w:val="28"/>
          <w:u w:val="single"/>
          <w:lang w:val="en-US"/>
        </w:rPr>
        <w:t xml:space="preserve"> and liquidity measure</w:t>
      </w:r>
    </w:p>
    <w:p w:rsidR="00EE6ADC" w:rsidRDefault="00B841A4" w:rsidP="00904F67">
      <w:pPr>
        <w:spacing w:line="480" w:lineRule="auto"/>
        <w:jc w:val="both"/>
        <w:rPr>
          <w:sz w:val="24"/>
          <w:szCs w:val="24"/>
          <w:lang w:val="en-US"/>
        </w:rPr>
      </w:pPr>
      <w:r>
        <w:rPr>
          <w:sz w:val="24"/>
          <w:szCs w:val="24"/>
          <w:lang w:val="en-US"/>
        </w:rPr>
        <w:t xml:space="preserve">To evaluate the market timing ability of mutual fund managers, we use the asset pricing model proposed by </w:t>
      </w:r>
      <w:proofErr w:type="spellStart"/>
      <w:r>
        <w:rPr>
          <w:sz w:val="24"/>
          <w:szCs w:val="24"/>
          <w:lang w:val="en-US"/>
        </w:rPr>
        <w:t>Fama</w:t>
      </w:r>
      <w:proofErr w:type="spellEnd"/>
      <w:r>
        <w:rPr>
          <w:sz w:val="24"/>
          <w:szCs w:val="24"/>
          <w:lang w:val="en-US"/>
        </w:rPr>
        <w:t xml:space="preserve"> and French (1992) augmented with the momentum factors of </w:t>
      </w:r>
      <w:proofErr w:type="spellStart"/>
      <w:r>
        <w:rPr>
          <w:sz w:val="24"/>
          <w:szCs w:val="24"/>
          <w:lang w:val="en-US"/>
        </w:rPr>
        <w:t>Carhart</w:t>
      </w:r>
      <w:proofErr w:type="spellEnd"/>
      <w:r>
        <w:rPr>
          <w:sz w:val="24"/>
          <w:szCs w:val="24"/>
          <w:lang w:val="en-US"/>
        </w:rPr>
        <w:t xml:space="preserve"> (1997). Market excess returns</w:t>
      </w:r>
      <w:r w:rsidR="00C37A5F">
        <w:rPr>
          <w:sz w:val="24"/>
          <w:szCs w:val="24"/>
          <w:lang w:val="en-US"/>
        </w:rPr>
        <w:t xml:space="preserve"> (MKT)</w:t>
      </w:r>
      <w:r>
        <w:rPr>
          <w:sz w:val="24"/>
          <w:szCs w:val="24"/>
          <w:lang w:val="en-US"/>
        </w:rPr>
        <w:t>, risk free rates</w:t>
      </w:r>
      <w:r w:rsidR="00C37A5F">
        <w:rPr>
          <w:sz w:val="24"/>
          <w:szCs w:val="24"/>
          <w:lang w:val="en-US"/>
        </w:rPr>
        <w:t xml:space="preserve"> (</w:t>
      </w:r>
      <w:proofErr w:type="spellStart"/>
      <w:proofErr w:type="gramStart"/>
      <w:r w:rsidR="00C37A5F">
        <w:rPr>
          <w:sz w:val="24"/>
          <w:szCs w:val="24"/>
          <w:lang w:val="en-US"/>
        </w:rPr>
        <w:t>Rf</w:t>
      </w:r>
      <w:proofErr w:type="spellEnd"/>
      <w:proofErr w:type="gramEnd"/>
      <w:r w:rsidR="00C37A5F">
        <w:rPr>
          <w:sz w:val="24"/>
          <w:szCs w:val="24"/>
          <w:lang w:val="en-US"/>
        </w:rPr>
        <w:t>)</w:t>
      </w:r>
      <w:r>
        <w:rPr>
          <w:sz w:val="24"/>
          <w:szCs w:val="24"/>
          <w:lang w:val="en-US"/>
        </w:rPr>
        <w:t xml:space="preserve"> as well as size</w:t>
      </w:r>
      <w:r w:rsidR="00C37A5F">
        <w:rPr>
          <w:sz w:val="24"/>
          <w:szCs w:val="24"/>
          <w:lang w:val="en-US"/>
        </w:rPr>
        <w:t xml:space="preserve"> (SMB)</w:t>
      </w:r>
      <w:r>
        <w:rPr>
          <w:sz w:val="24"/>
          <w:szCs w:val="24"/>
          <w:lang w:val="en-US"/>
        </w:rPr>
        <w:t>, book-to-market</w:t>
      </w:r>
      <w:r w:rsidR="00C37A5F">
        <w:rPr>
          <w:sz w:val="24"/>
          <w:szCs w:val="24"/>
          <w:lang w:val="en-US"/>
        </w:rPr>
        <w:t xml:space="preserve"> (HML)</w:t>
      </w:r>
      <w:r>
        <w:rPr>
          <w:sz w:val="24"/>
          <w:szCs w:val="24"/>
          <w:lang w:val="en-US"/>
        </w:rPr>
        <w:t xml:space="preserve"> and momentum</w:t>
      </w:r>
      <w:r w:rsidR="00C37A5F">
        <w:rPr>
          <w:sz w:val="24"/>
          <w:szCs w:val="24"/>
          <w:lang w:val="en-US"/>
        </w:rPr>
        <w:t xml:space="preserve"> (MOM)</w:t>
      </w:r>
      <w:r>
        <w:rPr>
          <w:sz w:val="24"/>
          <w:szCs w:val="24"/>
          <w:lang w:val="en-US"/>
        </w:rPr>
        <w:t xml:space="preserve"> factors are retrieved from the Kenneth French’s database</w:t>
      </w:r>
      <w:r>
        <w:rPr>
          <w:rStyle w:val="Appelnotedebasdep"/>
          <w:sz w:val="24"/>
          <w:szCs w:val="24"/>
          <w:lang w:val="en-US"/>
        </w:rPr>
        <w:footnoteReference w:id="4"/>
      </w:r>
      <w:r>
        <w:rPr>
          <w:sz w:val="24"/>
          <w:szCs w:val="24"/>
          <w:lang w:val="en-US"/>
        </w:rPr>
        <w:t>.</w:t>
      </w:r>
      <w:r w:rsidR="00751BF5">
        <w:rPr>
          <w:sz w:val="24"/>
          <w:szCs w:val="24"/>
          <w:lang w:val="en-US"/>
        </w:rPr>
        <w:t xml:space="preserve"> </w:t>
      </w:r>
    </w:p>
    <w:p w:rsidR="00751BF5" w:rsidRDefault="00751BF5" w:rsidP="00904F67">
      <w:pPr>
        <w:spacing w:line="480" w:lineRule="auto"/>
        <w:jc w:val="both"/>
        <w:rPr>
          <w:sz w:val="24"/>
          <w:szCs w:val="24"/>
          <w:lang w:val="en-US"/>
        </w:rPr>
      </w:pPr>
      <w:r>
        <w:rPr>
          <w:sz w:val="24"/>
          <w:szCs w:val="24"/>
          <w:lang w:val="en-US"/>
        </w:rPr>
        <w:t xml:space="preserve">As our goal is to investigate mutual funds market timing from the perspectives of return, volatility and liquidity, we need market-wide indicators of volatility and liquidity. We obtain a market-wide volatility measure by applying a </w:t>
      </w:r>
      <w:proofErr w:type="gramStart"/>
      <w:r>
        <w:rPr>
          <w:sz w:val="24"/>
          <w:szCs w:val="24"/>
          <w:lang w:val="en-US"/>
        </w:rPr>
        <w:t>GARCH(</w:t>
      </w:r>
      <w:proofErr w:type="gramEnd"/>
      <w:r>
        <w:rPr>
          <w:sz w:val="24"/>
          <w:szCs w:val="24"/>
          <w:lang w:val="en-US"/>
        </w:rPr>
        <w:t xml:space="preserve">1,1) to the market return series and </w:t>
      </w:r>
      <w:r w:rsidR="00C46028">
        <w:rPr>
          <w:sz w:val="24"/>
          <w:szCs w:val="24"/>
          <w:lang w:val="en-US"/>
        </w:rPr>
        <w:t>forecasting</w:t>
      </w:r>
      <w:r>
        <w:rPr>
          <w:sz w:val="24"/>
          <w:szCs w:val="24"/>
          <w:lang w:val="en-US"/>
        </w:rPr>
        <w:t xml:space="preserve"> the conditional variance</w:t>
      </w:r>
      <w:r w:rsidR="00C37A5F">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m,t</m:t>
            </m:r>
          </m:sub>
        </m:sSub>
      </m:oMath>
      <w:r w:rsidR="00C37A5F">
        <w:rPr>
          <w:rFonts w:eastAsiaTheme="minorEastAsia"/>
          <w:sz w:val="24"/>
          <w:szCs w:val="24"/>
          <w:lang w:val="en-US"/>
        </w:rPr>
        <w:t>)</w:t>
      </w:r>
      <w:r>
        <w:rPr>
          <w:sz w:val="24"/>
          <w:szCs w:val="24"/>
          <w:lang w:val="en-US"/>
        </w:rPr>
        <w:t xml:space="preserve"> at each time period. </w:t>
      </w:r>
    </w:p>
    <w:p w:rsidR="00751BF5" w:rsidRDefault="00007352" w:rsidP="00904F67">
      <w:pPr>
        <w:spacing w:line="480" w:lineRule="auto"/>
        <w:jc w:val="both"/>
        <w:rPr>
          <w:sz w:val="24"/>
          <w:szCs w:val="24"/>
          <w:lang w:val="en-US"/>
        </w:rPr>
      </w:pPr>
      <w:r>
        <w:rPr>
          <w:sz w:val="24"/>
          <w:szCs w:val="24"/>
          <w:lang w:val="en-US"/>
        </w:rPr>
        <w:lastRenderedPageBreak/>
        <w:t xml:space="preserve">As an indicator of market-wide liquidity, we use the liquidity measure proposed by Pastor and </w:t>
      </w:r>
      <w:proofErr w:type="spellStart"/>
      <w:r>
        <w:rPr>
          <w:sz w:val="24"/>
          <w:szCs w:val="24"/>
          <w:lang w:val="en-US"/>
        </w:rPr>
        <w:t>Stambaugh</w:t>
      </w:r>
      <w:proofErr w:type="spellEnd"/>
      <w:r>
        <w:rPr>
          <w:sz w:val="24"/>
          <w:szCs w:val="24"/>
          <w:lang w:val="en-US"/>
        </w:rPr>
        <w:t xml:space="preserve"> (2003). </w:t>
      </w:r>
      <w:r w:rsidR="00FD194B">
        <w:rPr>
          <w:sz w:val="24"/>
          <w:szCs w:val="24"/>
          <w:lang w:val="en-US"/>
        </w:rPr>
        <w:t>They meas</w:t>
      </w:r>
      <w:r w:rsidR="004E3FCB">
        <w:rPr>
          <w:sz w:val="24"/>
          <w:szCs w:val="24"/>
          <w:lang w:val="en-US"/>
        </w:rPr>
        <w:t>ure market-wide liquidity as the average of the liquidity m</w:t>
      </w:r>
      <w:r w:rsidR="00FD194B">
        <w:rPr>
          <w:sz w:val="24"/>
          <w:szCs w:val="24"/>
          <w:lang w:val="en-US"/>
        </w:rPr>
        <w:t>easure of each stock on the NYSE</w:t>
      </w:r>
      <w:r w:rsidR="004E3FCB">
        <w:rPr>
          <w:sz w:val="24"/>
          <w:szCs w:val="24"/>
          <w:lang w:val="en-US"/>
        </w:rPr>
        <w:t xml:space="preserve"> and AMEX. </w:t>
      </w:r>
      <w:r w:rsidR="00FD194B">
        <w:rPr>
          <w:sz w:val="24"/>
          <w:szCs w:val="24"/>
          <w:lang w:val="en-US"/>
        </w:rPr>
        <w:t>For each stock and each month, they first estimate the following equation by OLS:</w:t>
      </w:r>
    </w:p>
    <w:p w:rsidR="00FD194B" w:rsidRDefault="00FD194B" w:rsidP="00904F67">
      <w:pPr>
        <w:spacing w:line="480" w:lineRule="auto"/>
        <w:jc w:val="both"/>
        <w:rPr>
          <w:sz w:val="24"/>
          <w:szCs w:val="24"/>
          <w:lang w:val="en-US"/>
        </w:rPr>
      </w:pPr>
    </w:p>
    <w:p w:rsidR="00FD194B" w:rsidRDefault="005947A1" w:rsidP="00904F67">
      <w:pPr>
        <w:spacing w:line="480" w:lineRule="auto"/>
        <w:jc w:val="both"/>
        <w:rPr>
          <w:rFonts w:eastAsiaTheme="minorEastAsia"/>
          <w:sz w:val="24"/>
          <w:szCs w:val="24"/>
          <w:lang w:val="en-US"/>
        </w:rPr>
      </w:pPr>
      <m:oMath>
        <m:sSubSup>
          <m:sSubSupPr>
            <m:ctrlPr>
              <w:rPr>
                <w:rFonts w:ascii="Cambria Math" w:hAnsi="Cambria Math"/>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i,d+1,t</m:t>
            </m:r>
          </m:sub>
          <m:sup>
            <m:r>
              <w:rPr>
                <w:rFonts w:ascii="Cambria Math" w:hAnsi="Cambria Math"/>
                <w:sz w:val="24"/>
                <w:szCs w:val="24"/>
                <w:lang w:val="en-US"/>
              </w:rPr>
              <m:t>e</m:t>
            </m:r>
          </m:sup>
        </m:sSubSup>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i,t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ϕ</m:t>
            </m:r>
          </m:e>
          <m:sub>
            <m:r>
              <w:rPr>
                <w:rFonts w:ascii="Cambria Math" w:hAnsi="Cambria Math"/>
                <w:sz w:val="24"/>
                <w:szCs w:val="24"/>
                <w:lang w:val="en-US"/>
              </w:rPr>
              <m:t>i,t</m:t>
            </m:r>
          </m:sub>
        </m:sSub>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i,d,t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γ</m:t>
            </m:r>
          </m:e>
          <m:sub>
            <m:r>
              <w:rPr>
                <w:rFonts w:ascii="Cambria Math" w:hAnsi="Cambria Math"/>
                <w:sz w:val="24"/>
                <w:szCs w:val="24"/>
                <w:lang w:val="en-US"/>
              </w:rPr>
              <m:t>i,t</m:t>
            </m:r>
          </m:sub>
        </m:sSub>
        <m:r>
          <w:rPr>
            <w:rFonts w:ascii="Cambria Math" w:hAnsi="Cambria Math"/>
            <w:sz w:val="24"/>
            <w:szCs w:val="24"/>
            <w:lang w:val="en-US"/>
          </w:rPr>
          <m:t>sign</m:t>
        </m:r>
        <m:d>
          <m:dPr>
            <m:ctrlPr>
              <w:rPr>
                <w:rFonts w:ascii="Cambria Math" w:hAnsi="Cambria Math"/>
                <w:i/>
                <w:sz w:val="24"/>
                <w:szCs w:val="24"/>
                <w:lang w:val="en-US"/>
              </w:rPr>
            </m:ctrlPr>
          </m:dPr>
          <m:e>
            <m:sSubSup>
              <m:sSubSupPr>
                <m:ctrlPr>
                  <w:rPr>
                    <w:rFonts w:ascii="Cambria Math" w:hAnsi="Cambria Math"/>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i,d,t</m:t>
                </m:r>
              </m:sub>
              <m:sup>
                <m:r>
                  <w:rPr>
                    <w:rFonts w:ascii="Cambria Math" w:hAnsi="Cambria Math"/>
                    <w:sz w:val="24"/>
                    <w:szCs w:val="24"/>
                    <w:lang w:val="en-US"/>
                  </w:rPr>
                  <m:t>e</m:t>
                </m:r>
              </m:sup>
            </m:sSubSup>
          </m:e>
        </m:d>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i,d,t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ϵ</m:t>
            </m:r>
          </m:e>
          <m:sub>
            <m:r>
              <w:rPr>
                <w:rFonts w:ascii="Cambria Math" w:hAnsi="Cambria Math"/>
                <w:sz w:val="24"/>
                <w:szCs w:val="24"/>
                <w:lang w:val="en-US"/>
              </w:rPr>
              <m:t>i,d+1,t</m:t>
            </m:r>
          </m:sub>
        </m:sSub>
      </m:oMath>
      <w:r w:rsidR="00FD194B">
        <w:rPr>
          <w:rFonts w:eastAsiaTheme="minorEastAsia"/>
          <w:sz w:val="24"/>
          <w:szCs w:val="24"/>
          <w:lang w:val="en-US"/>
        </w:rPr>
        <w:t xml:space="preserve">    </w:t>
      </w:r>
      <w:r w:rsidR="00FD194B">
        <w:rPr>
          <w:rFonts w:eastAsiaTheme="minorEastAsia"/>
          <w:sz w:val="24"/>
          <w:szCs w:val="24"/>
          <w:lang w:val="en-US"/>
        </w:rPr>
        <w:tab/>
      </w:r>
      <w:r w:rsidR="00FD194B">
        <w:rPr>
          <w:rFonts w:eastAsiaTheme="minorEastAsia"/>
          <w:sz w:val="24"/>
          <w:szCs w:val="24"/>
          <w:lang w:val="en-US"/>
        </w:rPr>
        <w:tab/>
      </w:r>
      <w:r w:rsidR="00FD194B">
        <w:rPr>
          <w:rFonts w:eastAsiaTheme="minorEastAsia"/>
          <w:sz w:val="24"/>
          <w:szCs w:val="24"/>
          <w:lang w:val="en-US"/>
        </w:rPr>
        <w:tab/>
      </w:r>
      <w:r w:rsidR="00FD194B">
        <w:rPr>
          <w:rFonts w:eastAsiaTheme="minorEastAsia"/>
          <w:sz w:val="24"/>
          <w:szCs w:val="24"/>
          <w:lang w:val="en-US"/>
        </w:rPr>
        <w:tab/>
      </w:r>
      <w:r w:rsidR="00BE1071">
        <w:rPr>
          <w:rFonts w:eastAsiaTheme="minorEastAsia"/>
          <w:sz w:val="24"/>
          <w:szCs w:val="24"/>
          <w:lang w:val="en-US"/>
        </w:rPr>
        <w:t xml:space="preserve">     </w:t>
      </w:r>
      <w:r w:rsidR="00FD194B">
        <w:rPr>
          <w:rFonts w:eastAsiaTheme="minorEastAsia"/>
          <w:sz w:val="24"/>
          <w:szCs w:val="24"/>
          <w:lang w:val="en-US"/>
        </w:rPr>
        <w:t>[1]</w:t>
      </w:r>
    </w:p>
    <w:p w:rsidR="00FD194B" w:rsidRDefault="00FD194B" w:rsidP="00904F67">
      <w:pPr>
        <w:spacing w:line="480" w:lineRule="auto"/>
        <w:jc w:val="both"/>
        <w:rPr>
          <w:rFonts w:eastAsiaTheme="minorEastAsia"/>
          <w:sz w:val="24"/>
          <w:szCs w:val="24"/>
          <w:lang w:val="en-US"/>
        </w:rPr>
      </w:pPr>
    </w:p>
    <w:p w:rsidR="00FD194B" w:rsidRDefault="00FD194B" w:rsidP="00904F67">
      <w:pPr>
        <w:spacing w:line="480" w:lineRule="auto"/>
        <w:jc w:val="both"/>
        <w:rPr>
          <w:sz w:val="24"/>
          <w:szCs w:val="24"/>
          <w:lang w:val="en-US"/>
        </w:rPr>
      </w:pPr>
      <w:r>
        <w:rPr>
          <w:rFonts w:eastAsiaTheme="minorEastAsia"/>
          <w:sz w:val="24"/>
          <w:szCs w:val="24"/>
          <w:lang w:val="en-US"/>
        </w:rPr>
        <w:t xml:space="preserve">Where </w:t>
      </w: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i,d,t</m:t>
            </m:r>
          </m:sub>
        </m:sSub>
      </m:oMath>
      <w:r>
        <w:rPr>
          <w:rFonts w:eastAsiaTheme="minorEastAsia"/>
          <w:sz w:val="24"/>
          <w:szCs w:val="24"/>
          <w:lang w:val="en-US"/>
        </w:rPr>
        <w:t xml:space="preserve"> is the return on stock </w:t>
      </w:r>
      <w:r w:rsidRPr="00F04530">
        <w:rPr>
          <w:rFonts w:eastAsiaTheme="minorEastAsia"/>
          <w:i/>
          <w:sz w:val="24"/>
          <w:szCs w:val="24"/>
          <w:lang w:val="en-US"/>
        </w:rPr>
        <w:t>i</w:t>
      </w:r>
      <w:r>
        <w:rPr>
          <w:rFonts w:eastAsiaTheme="minorEastAsia"/>
          <w:sz w:val="24"/>
          <w:szCs w:val="24"/>
          <w:lang w:val="en-US"/>
        </w:rPr>
        <w:t xml:space="preserve"> on day </w:t>
      </w:r>
      <w:r w:rsidRPr="00F04530">
        <w:rPr>
          <w:rFonts w:eastAsiaTheme="minorEastAsia"/>
          <w:i/>
          <w:sz w:val="24"/>
          <w:szCs w:val="24"/>
          <w:lang w:val="en-US"/>
        </w:rPr>
        <w:t>d</w:t>
      </w:r>
      <w:r>
        <w:rPr>
          <w:rFonts w:eastAsiaTheme="minorEastAsia"/>
          <w:sz w:val="24"/>
          <w:szCs w:val="24"/>
          <w:lang w:val="en-US"/>
        </w:rPr>
        <w:t xml:space="preserve"> in month </w:t>
      </w:r>
      <w:r w:rsidRPr="00F04530">
        <w:rPr>
          <w:rFonts w:eastAsiaTheme="minorEastAsia"/>
          <w:i/>
          <w:sz w:val="24"/>
          <w:szCs w:val="24"/>
          <w:lang w:val="en-US"/>
        </w:rPr>
        <w:t>t</w:t>
      </w:r>
      <w:r>
        <w:rPr>
          <w:rFonts w:eastAsiaTheme="minorEastAsia"/>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i,d,t</m:t>
            </m:r>
          </m:sub>
          <m:sup>
            <m:r>
              <w:rPr>
                <w:rFonts w:ascii="Cambria Math" w:hAnsi="Cambria Math"/>
                <w:sz w:val="24"/>
                <w:szCs w:val="24"/>
                <w:lang w:val="en-US"/>
              </w:rPr>
              <m:t>e</m:t>
            </m:r>
          </m:sup>
        </m:sSubSup>
      </m:oMath>
      <w:r>
        <w:rPr>
          <w:rFonts w:eastAsiaTheme="minorEastAsia"/>
          <w:sz w:val="24"/>
          <w:szCs w:val="24"/>
          <w:lang w:val="en-US"/>
        </w:rPr>
        <w:t xml:space="preserve"> is the excess return on stock </w:t>
      </w:r>
      <w:r w:rsidRPr="00F04530">
        <w:rPr>
          <w:rFonts w:eastAsiaTheme="minorEastAsia"/>
          <w:i/>
          <w:sz w:val="24"/>
          <w:szCs w:val="24"/>
          <w:lang w:val="en-US"/>
        </w:rPr>
        <w:t>i</w:t>
      </w:r>
      <w:r>
        <w:rPr>
          <w:rFonts w:eastAsiaTheme="minorEastAsia"/>
          <w:sz w:val="24"/>
          <w:szCs w:val="24"/>
          <w:lang w:val="en-US"/>
        </w:rPr>
        <w:t xml:space="preserve"> on day </w:t>
      </w:r>
      <w:r w:rsidRPr="00F04530">
        <w:rPr>
          <w:rFonts w:eastAsiaTheme="minorEastAsia"/>
          <w:i/>
          <w:sz w:val="24"/>
          <w:szCs w:val="24"/>
          <w:lang w:val="en-US"/>
        </w:rPr>
        <w:t xml:space="preserve">d </w:t>
      </w:r>
      <w:r>
        <w:rPr>
          <w:rFonts w:eastAsiaTheme="minorEastAsia"/>
          <w:sz w:val="24"/>
          <w:szCs w:val="24"/>
          <w:lang w:val="en-US"/>
        </w:rPr>
        <w:t xml:space="preserve">in month </w:t>
      </w:r>
      <w:r w:rsidRPr="00F04530">
        <w:rPr>
          <w:rFonts w:eastAsiaTheme="minorEastAsia"/>
          <w:i/>
          <w:sz w:val="24"/>
          <w:szCs w:val="24"/>
          <w:lang w:val="en-US"/>
        </w:rPr>
        <w:t>t</w:t>
      </w:r>
      <w:r>
        <w:rPr>
          <w:rFonts w:eastAsiaTheme="minorEastAsia"/>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i,d,t</m:t>
            </m:r>
          </m:sub>
        </m:sSub>
      </m:oMath>
      <w:r>
        <w:rPr>
          <w:rFonts w:eastAsiaTheme="minorEastAsia"/>
          <w:sz w:val="24"/>
          <w:szCs w:val="24"/>
          <w:lang w:val="en-US"/>
        </w:rPr>
        <w:t xml:space="preserve"> is the dollar volume for stock </w:t>
      </w:r>
      <w:r w:rsidRPr="00F04530">
        <w:rPr>
          <w:rFonts w:eastAsiaTheme="minorEastAsia"/>
          <w:i/>
          <w:sz w:val="24"/>
          <w:szCs w:val="24"/>
          <w:lang w:val="en-US"/>
        </w:rPr>
        <w:t>i</w:t>
      </w:r>
      <w:r>
        <w:rPr>
          <w:rFonts w:eastAsiaTheme="minorEastAsia"/>
          <w:sz w:val="24"/>
          <w:szCs w:val="24"/>
          <w:lang w:val="en-US"/>
        </w:rPr>
        <w:t xml:space="preserve"> on day </w:t>
      </w:r>
      <w:r w:rsidRPr="00F04530">
        <w:rPr>
          <w:rFonts w:eastAsiaTheme="minorEastAsia"/>
          <w:i/>
          <w:sz w:val="24"/>
          <w:szCs w:val="24"/>
          <w:lang w:val="en-US"/>
        </w:rPr>
        <w:t>d</w:t>
      </w:r>
      <w:r>
        <w:rPr>
          <w:rFonts w:eastAsiaTheme="minorEastAsia"/>
          <w:sz w:val="24"/>
          <w:szCs w:val="24"/>
          <w:lang w:val="en-US"/>
        </w:rPr>
        <w:t xml:space="preserve"> in month </w:t>
      </w:r>
      <w:r w:rsidRPr="00F04530">
        <w:rPr>
          <w:rFonts w:eastAsiaTheme="minorEastAsia"/>
          <w:i/>
          <w:sz w:val="24"/>
          <w:szCs w:val="24"/>
          <w:lang w:val="en-US"/>
        </w:rPr>
        <w:t>t</w:t>
      </w:r>
      <w:r>
        <w:rPr>
          <w:rFonts w:eastAsiaTheme="minorEastAsia"/>
          <w:sz w:val="24"/>
          <w:szCs w:val="24"/>
          <w:lang w:val="en-US"/>
        </w:rPr>
        <w:t>.</w:t>
      </w:r>
    </w:p>
    <w:p w:rsidR="00B841A4" w:rsidRDefault="008822E5" w:rsidP="00904F67">
      <w:pPr>
        <w:spacing w:line="480" w:lineRule="auto"/>
        <w:jc w:val="both"/>
        <w:rPr>
          <w:rFonts w:eastAsiaTheme="minorEastAsia"/>
          <w:sz w:val="24"/>
          <w:szCs w:val="24"/>
          <w:lang w:val="en-US"/>
        </w:rPr>
      </w:pPr>
      <w:r>
        <w:rPr>
          <w:sz w:val="24"/>
          <w:szCs w:val="24"/>
          <w:lang w:val="en-US"/>
        </w:rPr>
        <w:t xml:space="preserve">The liquidity of stock </w:t>
      </w:r>
      <w:proofErr w:type="spellStart"/>
      <w:r>
        <w:rPr>
          <w:sz w:val="24"/>
          <w:szCs w:val="24"/>
          <w:lang w:val="en-US"/>
        </w:rPr>
        <w:t>i</w:t>
      </w:r>
      <w:proofErr w:type="spellEnd"/>
      <w:r>
        <w:rPr>
          <w:sz w:val="24"/>
          <w:szCs w:val="24"/>
          <w:lang w:val="en-US"/>
        </w:rPr>
        <w:t xml:space="preserve"> in month </w:t>
      </w:r>
      <w:r w:rsidRPr="00804605">
        <w:rPr>
          <w:i/>
          <w:sz w:val="24"/>
          <w:szCs w:val="24"/>
          <w:lang w:val="en-US"/>
        </w:rPr>
        <w:t>t</w:t>
      </w:r>
      <w:r>
        <w:rPr>
          <w:sz w:val="24"/>
          <w:szCs w:val="24"/>
          <w:lang w:val="en-US"/>
        </w:rPr>
        <w:t xml:space="preserve"> is estimated </w:t>
      </w:r>
      <w:proofErr w:type="gramStart"/>
      <w:r w:rsidR="00BE1071">
        <w:rPr>
          <w:sz w:val="24"/>
          <w:szCs w:val="24"/>
          <w:lang w:val="en-US"/>
        </w:rPr>
        <w:t xml:space="preserve">as </w:t>
      </w:r>
      <m:oMath>
        <w:proofErr w:type="gramEnd"/>
        <m:sSub>
          <m:sSubPr>
            <m:ctrlPr>
              <w:rPr>
                <w:rFonts w:ascii="Cambria Math" w:hAnsi="Cambria Math"/>
                <w:i/>
                <w:sz w:val="24"/>
                <w:szCs w:val="24"/>
                <w:lang w:val="en-US"/>
              </w:rPr>
            </m:ctrlPr>
          </m:sSubPr>
          <m:e>
            <m:acc>
              <m:accPr>
                <m:ctrlPr>
                  <w:rPr>
                    <w:rFonts w:ascii="Cambria Math" w:hAnsi="Cambria Math"/>
                    <w:i/>
                    <w:sz w:val="24"/>
                    <w:szCs w:val="24"/>
                    <w:lang w:val="en-US"/>
                  </w:rPr>
                </m:ctrlPr>
              </m:accPr>
              <m:e>
                <m:r>
                  <w:rPr>
                    <w:rFonts w:ascii="Cambria Math" w:hAnsi="Cambria Math"/>
                    <w:sz w:val="24"/>
                    <w:szCs w:val="24"/>
                    <w:lang w:val="en-US"/>
                  </w:rPr>
                  <m:t>γ</m:t>
                </m:r>
              </m:e>
            </m:acc>
          </m:e>
          <m:sub>
            <m:r>
              <w:rPr>
                <w:rFonts w:ascii="Cambria Math" w:hAnsi="Cambria Math"/>
                <w:sz w:val="24"/>
                <w:szCs w:val="24"/>
                <w:lang w:val="en-US"/>
              </w:rPr>
              <m:t>i,t</m:t>
            </m:r>
          </m:sub>
        </m:sSub>
      </m:oMath>
      <w:r>
        <w:rPr>
          <w:rFonts w:eastAsiaTheme="minorEastAsia"/>
          <w:sz w:val="24"/>
          <w:szCs w:val="24"/>
          <w:lang w:val="en-US"/>
        </w:rPr>
        <w:t xml:space="preserve">. </w:t>
      </w:r>
      <w:r w:rsidR="00BE1071">
        <w:rPr>
          <w:rFonts w:eastAsiaTheme="minorEastAsia"/>
          <w:sz w:val="24"/>
          <w:szCs w:val="24"/>
          <w:lang w:val="en-US"/>
        </w:rPr>
        <w:t xml:space="preserve">The larger </w:t>
      </w:r>
      <m:oMath>
        <m:sSub>
          <m:sSubPr>
            <m:ctrlPr>
              <w:rPr>
                <w:rFonts w:ascii="Cambria Math" w:hAnsi="Cambria Math"/>
                <w:i/>
                <w:sz w:val="24"/>
                <w:szCs w:val="24"/>
                <w:lang w:val="en-US"/>
              </w:rPr>
            </m:ctrlPr>
          </m:sSubPr>
          <m:e>
            <m:acc>
              <m:accPr>
                <m:ctrlPr>
                  <w:rPr>
                    <w:rFonts w:ascii="Cambria Math" w:hAnsi="Cambria Math"/>
                    <w:i/>
                    <w:sz w:val="24"/>
                    <w:szCs w:val="24"/>
                    <w:lang w:val="en-US"/>
                  </w:rPr>
                </m:ctrlPr>
              </m:accPr>
              <m:e>
                <m:r>
                  <w:rPr>
                    <w:rFonts w:ascii="Cambria Math" w:hAnsi="Cambria Math"/>
                    <w:sz w:val="24"/>
                    <w:szCs w:val="24"/>
                    <w:lang w:val="en-US"/>
                  </w:rPr>
                  <m:t>γ</m:t>
                </m:r>
              </m:e>
            </m:acc>
          </m:e>
          <m:sub>
            <m:r>
              <w:rPr>
                <w:rFonts w:ascii="Cambria Math" w:hAnsi="Cambria Math"/>
                <w:sz w:val="24"/>
                <w:szCs w:val="24"/>
                <w:lang w:val="en-US"/>
              </w:rPr>
              <m:t>i,t</m:t>
            </m:r>
          </m:sub>
        </m:sSub>
      </m:oMath>
      <w:r w:rsidR="00BE1071">
        <w:rPr>
          <w:rFonts w:eastAsiaTheme="minorEastAsia"/>
          <w:sz w:val="24"/>
          <w:szCs w:val="24"/>
          <w:lang w:val="en-US"/>
        </w:rPr>
        <w:t xml:space="preserve"> is in absolute value, the less liquid the stock is in month </w:t>
      </w:r>
      <w:r w:rsidR="00BE1071" w:rsidRPr="00F04530">
        <w:rPr>
          <w:rFonts w:eastAsiaTheme="minorEastAsia"/>
          <w:i/>
          <w:sz w:val="24"/>
          <w:szCs w:val="24"/>
          <w:lang w:val="en-US"/>
        </w:rPr>
        <w:t>t</w:t>
      </w:r>
      <w:r w:rsidR="00BE1071">
        <w:rPr>
          <w:rFonts w:eastAsiaTheme="minorEastAsia"/>
          <w:sz w:val="24"/>
          <w:szCs w:val="24"/>
          <w:lang w:val="en-US"/>
        </w:rPr>
        <w:t>. A market wide liquidity measure is hence obtained as the average of the liquidity measure of each stock in the index:</w:t>
      </w:r>
    </w:p>
    <w:p w:rsidR="00F04530" w:rsidRDefault="00F04530" w:rsidP="00904F67">
      <w:pPr>
        <w:spacing w:line="480" w:lineRule="auto"/>
        <w:jc w:val="both"/>
        <w:rPr>
          <w:rFonts w:eastAsiaTheme="minorEastAsia"/>
          <w:sz w:val="24"/>
          <w:szCs w:val="24"/>
          <w:lang w:val="en-US"/>
        </w:rPr>
      </w:pPr>
    </w:p>
    <w:p w:rsidR="00F04530" w:rsidRDefault="005947A1" w:rsidP="00904F67">
      <w:pPr>
        <w:spacing w:line="480" w:lineRule="auto"/>
        <w:jc w:val="both"/>
        <w:rPr>
          <w:rFonts w:eastAsiaTheme="minorEastAsia"/>
          <w:sz w:val="24"/>
          <w:szCs w:val="24"/>
          <w:lang w:val="en-US"/>
        </w:rPr>
      </w:pPr>
      <m:oMath>
        <m:sSub>
          <m:sSubPr>
            <m:ctrlPr>
              <w:rPr>
                <w:rFonts w:ascii="Cambria Math" w:eastAsiaTheme="minorEastAsia" w:hAnsi="Cambria Math"/>
                <w:i/>
                <w:sz w:val="24"/>
                <w:szCs w:val="24"/>
                <w:lang w:val="en-US"/>
              </w:rPr>
            </m:ctrlPr>
          </m:sSubPr>
          <m:e>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γ</m:t>
                </m:r>
              </m:e>
            </m:acc>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N</m:t>
            </m:r>
          </m:den>
        </m:f>
        <m:nary>
          <m:naryPr>
            <m:chr m:val="∑"/>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i=1</m:t>
            </m:r>
          </m:sub>
          <m:sup>
            <m:r>
              <w:rPr>
                <w:rFonts w:ascii="Cambria Math" w:eastAsiaTheme="minorEastAsia" w:hAnsi="Cambria Math"/>
                <w:sz w:val="24"/>
                <w:szCs w:val="24"/>
                <w:lang w:val="en-US"/>
              </w:rPr>
              <m:t>N</m:t>
            </m:r>
          </m:sup>
          <m:e>
            <m:sSub>
              <m:sSubPr>
                <m:ctrlPr>
                  <w:rPr>
                    <w:rFonts w:ascii="Cambria Math" w:eastAsiaTheme="minorEastAsia" w:hAnsi="Cambria Math"/>
                    <w:i/>
                    <w:sz w:val="24"/>
                    <w:szCs w:val="24"/>
                    <w:lang w:val="en-US"/>
                  </w:rPr>
                </m:ctrlPr>
              </m:sSubPr>
              <m:e>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γ</m:t>
                    </m:r>
                  </m:e>
                </m:acc>
              </m:e>
              <m:sub>
                <m:r>
                  <w:rPr>
                    <w:rFonts w:ascii="Cambria Math" w:eastAsiaTheme="minorEastAsia" w:hAnsi="Cambria Math"/>
                    <w:sz w:val="24"/>
                    <w:szCs w:val="24"/>
                    <w:lang w:val="en-US"/>
                  </w:rPr>
                  <m:t>i,t</m:t>
                </m:r>
              </m:sub>
            </m:sSub>
          </m:e>
        </m:nary>
      </m:oMath>
      <w:r w:rsidR="00BE1071">
        <w:rPr>
          <w:rFonts w:eastAsiaTheme="minorEastAsia"/>
          <w:sz w:val="24"/>
          <w:szCs w:val="24"/>
          <w:lang w:val="en-US"/>
        </w:rPr>
        <w:t xml:space="preserve">  </w:t>
      </w:r>
      <w:r w:rsidR="00BE1071">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r>
      <w:r w:rsidR="00F04530">
        <w:rPr>
          <w:rFonts w:eastAsiaTheme="minorEastAsia"/>
          <w:sz w:val="24"/>
          <w:szCs w:val="24"/>
          <w:lang w:val="en-US"/>
        </w:rPr>
        <w:tab/>
        <w:t xml:space="preserve">     [2]</w:t>
      </w:r>
    </w:p>
    <w:p w:rsidR="00BE1071" w:rsidRDefault="00BE1071" w:rsidP="00904F67">
      <w:pPr>
        <w:spacing w:line="480" w:lineRule="auto"/>
        <w:jc w:val="both"/>
        <w:rPr>
          <w:rFonts w:eastAsiaTheme="minorEastAsia"/>
          <w:sz w:val="24"/>
          <w:szCs w:val="24"/>
          <w:lang w:val="en-US"/>
        </w:rPr>
      </w:pP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p>
    <w:p w:rsidR="00BE1071" w:rsidRDefault="00BE1071" w:rsidP="00904F67">
      <w:pPr>
        <w:spacing w:line="480" w:lineRule="auto"/>
        <w:jc w:val="both"/>
        <w:rPr>
          <w:rFonts w:eastAsiaTheme="minorEastAsia"/>
          <w:sz w:val="24"/>
          <w:szCs w:val="24"/>
          <w:lang w:val="en-US"/>
        </w:rPr>
      </w:pPr>
      <w:proofErr w:type="gramStart"/>
      <w:r>
        <w:rPr>
          <w:rFonts w:eastAsiaTheme="minorEastAsia"/>
          <w:sz w:val="24"/>
          <w:szCs w:val="24"/>
          <w:lang w:val="en-US"/>
        </w:rPr>
        <w:t xml:space="preserve">Where </w:t>
      </w:r>
      <w:r w:rsidRPr="00804605">
        <w:rPr>
          <w:rFonts w:eastAsiaTheme="minorEastAsia"/>
          <w:i/>
          <w:sz w:val="24"/>
          <w:szCs w:val="24"/>
          <w:lang w:val="en-US"/>
        </w:rPr>
        <w:t>N</w:t>
      </w:r>
      <w:r>
        <w:rPr>
          <w:rFonts w:eastAsiaTheme="minorEastAsia"/>
          <w:sz w:val="24"/>
          <w:szCs w:val="24"/>
          <w:lang w:val="en-US"/>
        </w:rPr>
        <w:t xml:space="preserve"> is the number of stocks in the index.</w:t>
      </w:r>
      <w:proofErr w:type="gramEnd"/>
    </w:p>
    <w:p w:rsidR="00F04530" w:rsidRDefault="00F04530" w:rsidP="00904F67">
      <w:pPr>
        <w:spacing w:line="480" w:lineRule="auto"/>
        <w:jc w:val="both"/>
        <w:rPr>
          <w:rFonts w:eastAsiaTheme="minorEastAsia"/>
          <w:sz w:val="24"/>
          <w:szCs w:val="24"/>
          <w:lang w:val="en-US"/>
        </w:rPr>
      </w:pPr>
      <w:r>
        <w:rPr>
          <w:rFonts w:eastAsiaTheme="minorEastAsia"/>
          <w:sz w:val="24"/>
          <w:szCs w:val="24"/>
          <w:lang w:val="en-US"/>
        </w:rPr>
        <w:t xml:space="preserve">As the size of financial markets has been significantly increased over the last decades, Pastor and </w:t>
      </w:r>
      <w:proofErr w:type="spellStart"/>
      <w:r>
        <w:rPr>
          <w:rFonts w:eastAsiaTheme="minorEastAsia"/>
          <w:sz w:val="24"/>
          <w:szCs w:val="24"/>
          <w:lang w:val="en-US"/>
        </w:rPr>
        <w:t>Stambaugh</w:t>
      </w:r>
      <w:proofErr w:type="spellEnd"/>
      <w:r>
        <w:rPr>
          <w:rFonts w:eastAsiaTheme="minorEastAsia"/>
          <w:sz w:val="24"/>
          <w:szCs w:val="24"/>
          <w:lang w:val="en-US"/>
        </w:rPr>
        <w:t xml:space="preserve"> (2003) suggest </w:t>
      </w:r>
      <w:proofErr w:type="gramStart"/>
      <w:r>
        <w:rPr>
          <w:rFonts w:eastAsiaTheme="minorEastAsia"/>
          <w:sz w:val="24"/>
          <w:szCs w:val="24"/>
          <w:lang w:val="en-US"/>
        </w:rPr>
        <w:t>to define</w:t>
      </w:r>
      <w:proofErr w:type="gramEnd"/>
      <w:r>
        <w:rPr>
          <w:rFonts w:eastAsiaTheme="minorEastAsia"/>
          <w:sz w:val="24"/>
          <w:szCs w:val="24"/>
          <w:lang w:val="en-US"/>
        </w:rPr>
        <w:t xml:space="preserve"> a scaled liquidity measure </w:t>
      </w:r>
      <m:oMath>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L</m:t>
            </m:r>
          </m:e>
          <m:sub>
            <m:r>
              <w:rPr>
                <w:rFonts w:ascii="Cambria Math" w:eastAsiaTheme="minorEastAsia" w:hAnsi="Cambria Math"/>
                <w:sz w:val="24"/>
                <w:szCs w:val="24"/>
                <w:lang w:val="en-US"/>
              </w:rPr>
              <m:t>m,t</m:t>
            </m:r>
          </m:sub>
        </m:sSub>
        <m:r>
          <w:rPr>
            <w:rFonts w:ascii="Cambria Math" w:eastAsiaTheme="minorEastAsia" w:hAnsi="Cambria Math"/>
            <w:sz w:val="24"/>
            <w:szCs w:val="24"/>
            <w:lang w:val="en-US"/>
          </w:rPr>
          <m:t>)</m:t>
        </m:r>
      </m:oMath>
      <w:r>
        <w:rPr>
          <w:rFonts w:eastAsiaTheme="minorEastAsia"/>
          <w:sz w:val="24"/>
          <w:szCs w:val="24"/>
          <w:lang w:val="en-US"/>
        </w:rPr>
        <w:t xml:space="preserve"> using the following adjustment: </w:t>
      </w:r>
    </w:p>
    <w:p w:rsidR="00F04530" w:rsidRDefault="00F04530" w:rsidP="00904F67">
      <w:pPr>
        <w:spacing w:line="480" w:lineRule="auto"/>
        <w:jc w:val="both"/>
        <w:rPr>
          <w:rFonts w:eastAsiaTheme="minorEastAsia"/>
          <w:sz w:val="24"/>
          <w:szCs w:val="24"/>
          <w:lang w:val="en-US"/>
        </w:rPr>
      </w:pPr>
    </w:p>
    <w:p w:rsidR="00F04530" w:rsidRPr="00F04530" w:rsidRDefault="00F04530" w:rsidP="00904F67">
      <w:pPr>
        <w:spacing w:line="480" w:lineRule="auto"/>
        <w:jc w:val="both"/>
        <w:rPr>
          <w:rFonts w:eastAsiaTheme="minorEastAsia"/>
          <w:sz w:val="24"/>
          <w:szCs w:val="24"/>
          <w:lang w:val="fr-BE"/>
        </w:rPr>
      </w:pPr>
      <w:r>
        <w:rPr>
          <w:rFonts w:eastAsiaTheme="minorEastAsia"/>
          <w:sz w:val="24"/>
          <w:szCs w:val="24"/>
          <w:lang w:val="en-US"/>
        </w:rPr>
        <w:lastRenderedPageBreak/>
        <w:t xml:space="preserv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L</m:t>
            </m:r>
          </m:e>
          <m:sub>
            <m:r>
              <w:rPr>
                <w:rFonts w:ascii="Cambria Math" w:eastAsiaTheme="minorEastAsia" w:hAnsi="Cambria Math"/>
                <w:sz w:val="24"/>
                <w:szCs w:val="24"/>
                <w:lang w:val="en-US"/>
              </w:rPr>
              <m:t>m</m:t>
            </m:r>
            <m:r>
              <w:rPr>
                <w:rFonts w:ascii="Cambria Math" w:eastAsiaTheme="minorEastAsia" w:hAnsi="Cambria Math"/>
                <w:sz w:val="24"/>
                <w:szCs w:val="24"/>
                <w:lang w:val="fr-BE"/>
              </w:rPr>
              <m:t>,</m:t>
            </m:r>
            <m:r>
              <w:rPr>
                <w:rFonts w:ascii="Cambria Math" w:eastAsiaTheme="minorEastAsia" w:hAnsi="Cambria Math"/>
                <w:sz w:val="24"/>
                <w:szCs w:val="24"/>
                <w:lang w:val="en-US"/>
              </w:rPr>
              <m:t>t</m:t>
            </m:r>
          </m:sub>
        </m:sSub>
        <m:r>
          <w:rPr>
            <w:rFonts w:ascii="Cambria Math" w:eastAsiaTheme="minorEastAsia" w:hAnsi="Cambria Math"/>
            <w:sz w:val="24"/>
            <w:szCs w:val="24"/>
            <w:lang w:val="fr-BE"/>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t</m:t>
                </m:r>
                <m:r>
                  <w:rPr>
                    <w:rFonts w:ascii="Cambria Math" w:eastAsiaTheme="minorEastAsia" w:hAnsi="Cambria Math"/>
                    <w:sz w:val="24"/>
                    <w:szCs w:val="24"/>
                    <w:lang w:val="fr-BE"/>
                  </w:rPr>
                  <m:t>-1</m:t>
                </m:r>
              </m:sub>
            </m:sSub>
          </m:num>
          <m:den>
            <m:sSub>
              <m:sSubPr>
                <m:ctrlPr>
                  <w:rPr>
                    <w:rFonts w:ascii="Cambria Math" w:eastAsiaTheme="minorEastAsia" w:hAnsi="Cambria Math"/>
                    <w:i/>
                    <w:sz w:val="24"/>
                    <w:szCs w:val="24"/>
                    <w:lang w:val="fr-BE"/>
                  </w:rPr>
                </m:ctrlPr>
              </m:sSubPr>
              <m:e>
                <m:r>
                  <w:rPr>
                    <w:rFonts w:ascii="Cambria Math" w:eastAsiaTheme="minorEastAsia" w:hAnsi="Cambria Math"/>
                    <w:sz w:val="24"/>
                    <w:szCs w:val="24"/>
                    <w:lang w:val="en-US"/>
                  </w:rPr>
                  <m:t>m</m:t>
                </m:r>
                <m:ctrlPr>
                  <w:rPr>
                    <w:rFonts w:ascii="Cambria Math" w:eastAsiaTheme="minorEastAsia" w:hAnsi="Cambria Math"/>
                    <w:i/>
                    <w:sz w:val="24"/>
                    <w:szCs w:val="24"/>
                    <w:lang w:val="en-US"/>
                  </w:rPr>
                </m:ctrlPr>
              </m:e>
              <m:sub>
                <m:r>
                  <w:rPr>
                    <w:rFonts w:ascii="Cambria Math" w:eastAsiaTheme="minorEastAsia" w:hAnsi="Cambria Math"/>
                    <w:sz w:val="24"/>
                    <w:szCs w:val="24"/>
                    <w:lang w:val="fr-BE"/>
                  </w:rPr>
                  <m:t>1</m:t>
                </m:r>
              </m:sub>
            </m:sSub>
          </m:den>
        </m:f>
        <m:sSub>
          <m:sSubPr>
            <m:ctrlPr>
              <w:rPr>
                <w:rFonts w:ascii="Cambria Math" w:eastAsiaTheme="minorEastAsia" w:hAnsi="Cambria Math"/>
                <w:i/>
                <w:sz w:val="24"/>
                <w:szCs w:val="24"/>
                <w:lang w:val="en-US"/>
              </w:rPr>
            </m:ctrlPr>
          </m:sSubPr>
          <m:e>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γ</m:t>
                </m:r>
              </m:e>
            </m:acc>
          </m:e>
          <m:sub>
            <m:r>
              <w:rPr>
                <w:rFonts w:ascii="Cambria Math" w:eastAsiaTheme="minorEastAsia" w:hAnsi="Cambria Math"/>
                <w:sz w:val="24"/>
                <w:szCs w:val="24"/>
                <w:lang w:val="en-US"/>
              </w:rPr>
              <m:t>t</m:t>
            </m:r>
          </m:sub>
        </m:sSub>
      </m:oMath>
      <w:r w:rsidRPr="00F04530">
        <w:rPr>
          <w:rFonts w:eastAsiaTheme="minorEastAsia"/>
          <w:sz w:val="24"/>
          <w:szCs w:val="24"/>
          <w:lang w:val="fr-BE"/>
        </w:rPr>
        <w:t xml:space="preserve">    </w:t>
      </w:r>
      <w:r w:rsidRPr="00F04530">
        <w:rPr>
          <w:rFonts w:eastAsiaTheme="minorEastAsia"/>
          <w:sz w:val="24"/>
          <w:szCs w:val="24"/>
          <w:lang w:val="fr-BE"/>
        </w:rPr>
        <w:tab/>
      </w:r>
      <w:r w:rsidRPr="00F04530">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r>
      <w:r>
        <w:rPr>
          <w:rFonts w:eastAsiaTheme="minorEastAsia"/>
          <w:sz w:val="24"/>
          <w:szCs w:val="24"/>
          <w:lang w:val="fr-BE"/>
        </w:rPr>
        <w:tab/>
        <w:t xml:space="preserve">    </w:t>
      </w:r>
      <w:r w:rsidRPr="00F04530">
        <w:rPr>
          <w:rFonts w:eastAsiaTheme="minorEastAsia"/>
          <w:sz w:val="24"/>
          <w:szCs w:val="24"/>
          <w:lang w:val="fr-BE"/>
        </w:rPr>
        <w:t xml:space="preserve"> [3]</w:t>
      </w:r>
    </w:p>
    <w:p w:rsidR="00BE1071" w:rsidRDefault="00BE1071" w:rsidP="00904F67">
      <w:pPr>
        <w:spacing w:line="480" w:lineRule="auto"/>
        <w:jc w:val="both"/>
        <w:rPr>
          <w:sz w:val="24"/>
          <w:szCs w:val="24"/>
          <w:lang w:val="fr-BE"/>
        </w:rPr>
      </w:pPr>
    </w:p>
    <w:p w:rsidR="00D94212" w:rsidRDefault="00F04530" w:rsidP="00904F67">
      <w:pPr>
        <w:spacing w:line="480" w:lineRule="auto"/>
        <w:jc w:val="both"/>
        <w:rPr>
          <w:rFonts w:eastAsiaTheme="minorEastAsia"/>
          <w:sz w:val="24"/>
          <w:szCs w:val="24"/>
          <w:lang w:val="en-US"/>
        </w:rPr>
      </w:pPr>
      <w:r w:rsidRPr="00F04530">
        <w:rPr>
          <w:sz w:val="24"/>
          <w:szCs w:val="24"/>
          <w:lang w:val="en-US"/>
        </w:rPr>
        <w:t xml:space="preserve">Where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t-1</m:t>
            </m:r>
          </m:sub>
        </m:sSub>
      </m:oMath>
      <w:r>
        <w:rPr>
          <w:rFonts w:eastAsiaTheme="minorEastAsia"/>
          <w:sz w:val="24"/>
          <w:szCs w:val="24"/>
          <w:lang w:val="en-US"/>
        </w:rPr>
        <w:t xml:space="preserve"> is the total market capitalization at the end of month </w:t>
      </w:r>
      <w:r w:rsidRPr="00804605">
        <w:rPr>
          <w:rFonts w:eastAsiaTheme="minorEastAsia"/>
          <w:i/>
          <w:sz w:val="24"/>
          <w:szCs w:val="24"/>
          <w:lang w:val="en-US"/>
        </w:rPr>
        <w:t>t-</w:t>
      </w:r>
      <w:proofErr w:type="gramStart"/>
      <w:r w:rsidRPr="00804605">
        <w:rPr>
          <w:rFonts w:eastAsiaTheme="minorEastAsia"/>
          <w:i/>
          <w:sz w:val="24"/>
          <w:szCs w:val="24"/>
          <w:lang w:val="en-US"/>
        </w:rPr>
        <w:t>1</w:t>
      </w:r>
      <w:r w:rsidR="00804605">
        <w:rPr>
          <w:rFonts w:eastAsiaTheme="minorEastAsia"/>
          <w:sz w:val="24"/>
          <w:szCs w:val="24"/>
          <w:lang w:val="en-US"/>
        </w:rPr>
        <w:t>,</w:t>
      </w:r>
      <w:proofErr w:type="gramEnd"/>
      <w:r w:rsidR="00804605">
        <w:rPr>
          <w:rFonts w:eastAsiaTheme="minorEastAsia"/>
          <w:sz w:val="24"/>
          <w:szCs w:val="24"/>
          <w:lang w:val="en-US"/>
        </w:rPr>
        <w:t xml:space="preserve"> </w:t>
      </w:r>
      <m:oMath>
        <m:sSub>
          <m:sSubPr>
            <m:ctrlPr>
              <w:rPr>
                <w:rFonts w:ascii="Cambria Math" w:eastAsiaTheme="minorEastAsia" w:hAnsi="Cambria Math"/>
                <w:i/>
                <w:sz w:val="24"/>
                <w:szCs w:val="24"/>
                <w:lang w:val="fr-BE"/>
              </w:rPr>
            </m:ctrlPr>
          </m:sSubPr>
          <m:e>
            <m:r>
              <w:rPr>
                <w:rFonts w:ascii="Cambria Math" w:eastAsiaTheme="minorEastAsia" w:hAnsi="Cambria Math"/>
                <w:sz w:val="24"/>
                <w:szCs w:val="24"/>
                <w:lang w:val="en-US"/>
              </w:rPr>
              <m:t>m</m:t>
            </m:r>
            <m:ctrlPr>
              <w:rPr>
                <w:rFonts w:ascii="Cambria Math" w:eastAsiaTheme="minorEastAsia" w:hAnsi="Cambria Math"/>
                <w:i/>
                <w:sz w:val="24"/>
                <w:szCs w:val="24"/>
                <w:lang w:val="en-US"/>
              </w:rPr>
            </m:ctrlPr>
          </m:e>
          <m:sub>
            <m:r>
              <w:rPr>
                <w:rFonts w:ascii="Cambria Math" w:eastAsiaTheme="minorEastAsia" w:hAnsi="Cambria Math"/>
                <w:sz w:val="24"/>
                <w:szCs w:val="24"/>
                <w:lang w:val="en-US"/>
              </w:rPr>
              <m:t>1</m:t>
            </m:r>
          </m:sub>
        </m:sSub>
      </m:oMath>
      <w:r w:rsidR="00804605" w:rsidRPr="00804605">
        <w:rPr>
          <w:rFonts w:eastAsiaTheme="minorEastAsia"/>
          <w:sz w:val="24"/>
          <w:szCs w:val="24"/>
          <w:lang w:val="en-US"/>
        </w:rPr>
        <w:t xml:space="preserve"> is the total market value </w:t>
      </w:r>
      <w:r w:rsidR="00804605">
        <w:rPr>
          <w:rFonts w:eastAsiaTheme="minorEastAsia"/>
          <w:sz w:val="24"/>
          <w:szCs w:val="24"/>
          <w:lang w:val="en-US"/>
        </w:rPr>
        <w:t xml:space="preserve">in August 1962. </w:t>
      </w:r>
    </w:p>
    <w:p w:rsidR="00F04530" w:rsidRDefault="00D94212" w:rsidP="00904F67">
      <w:pPr>
        <w:spacing w:line="480" w:lineRule="auto"/>
        <w:jc w:val="both"/>
        <w:rPr>
          <w:rFonts w:eastAsiaTheme="minorEastAsia"/>
          <w:sz w:val="24"/>
          <w:szCs w:val="24"/>
          <w:lang w:val="en-US"/>
        </w:rPr>
      </w:pPr>
      <w:r>
        <w:rPr>
          <w:rFonts w:eastAsiaTheme="minorEastAsia"/>
          <w:sz w:val="24"/>
          <w:szCs w:val="24"/>
          <w:lang w:val="en-US"/>
        </w:rPr>
        <w:t xml:space="preserve">Updated series of the Pastor and </w:t>
      </w:r>
      <w:proofErr w:type="spellStart"/>
      <w:r>
        <w:rPr>
          <w:rFonts w:eastAsiaTheme="minorEastAsia"/>
          <w:sz w:val="24"/>
          <w:szCs w:val="24"/>
          <w:lang w:val="en-US"/>
        </w:rPr>
        <w:t>Stambaugh</w:t>
      </w:r>
      <w:proofErr w:type="spellEnd"/>
      <w:r w:rsidR="001B30BB">
        <w:rPr>
          <w:rFonts w:eastAsiaTheme="minorEastAsia"/>
          <w:sz w:val="24"/>
          <w:szCs w:val="24"/>
          <w:lang w:val="en-US"/>
        </w:rPr>
        <w:t xml:space="preserve"> (2003)</w:t>
      </w:r>
      <w:r>
        <w:rPr>
          <w:rFonts w:eastAsiaTheme="minorEastAsia"/>
          <w:sz w:val="24"/>
          <w:szCs w:val="24"/>
          <w:lang w:val="en-US"/>
        </w:rPr>
        <w:t xml:space="preserve"> </w:t>
      </w:r>
      <w:r w:rsidR="003E1BA6">
        <w:rPr>
          <w:rFonts w:eastAsiaTheme="minorEastAsia"/>
          <w:sz w:val="24"/>
          <w:szCs w:val="24"/>
          <w:lang w:val="en-US"/>
        </w:rPr>
        <w:t xml:space="preserve">aggregate </w:t>
      </w:r>
      <w:r>
        <w:rPr>
          <w:rFonts w:eastAsiaTheme="minorEastAsia"/>
          <w:sz w:val="24"/>
          <w:szCs w:val="24"/>
          <w:lang w:val="en-US"/>
        </w:rPr>
        <w:t xml:space="preserve">liquidity measure is retrieved from Robert </w:t>
      </w:r>
      <w:proofErr w:type="spellStart"/>
      <w:r>
        <w:rPr>
          <w:rFonts w:eastAsiaTheme="minorEastAsia"/>
          <w:sz w:val="24"/>
          <w:szCs w:val="24"/>
          <w:lang w:val="en-US"/>
        </w:rPr>
        <w:t>Stambaugh’s</w:t>
      </w:r>
      <w:proofErr w:type="spellEnd"/>
      <w:r>
        <w:rPr>
          <w:rFonts w:eastAsiaTheme="minorEastAsia"/>
          <w:sz w:val="24"/>
          <w:szCs w:val="24"/>
          <w:lang w:val="en-US"/>
        </w:rPr>
        <w:t xml:space="preserve"> website</w:t>
      </w:r>
      <w:r>
        <w:rPr>
          <w:rStyle w:val="Appelnotedebasdep"/>
          <w:rFonts w:eastAsiaTheme="minorEastAsia"/>
          <w:sz w:val="24"/>
          <w:szCs w:val="24"/>
          <w:lang w:val="en-US"/>
        </w:rPr>
        <w:footnoteReference w:id="5"/>
      </w:r>
      <w:r>
        <w:rPr>
          <w:rFonts w:eastAsiaTheme="minorEastAsia"/>
          <w:sz w:val="24"/>
          <w:szCs w:val="24"/>
          <w:lang w:val="en-US"/>
        </w:rPr>
        <w:t>.</w:t>
      </w:r>
    </w:p>
    <w:p w:rsidR="00BE130C" w:rsidRDefault="00BE130C" w:rsidP="00904F67">
      <w:pPr>
        <w:spacing w:line="480" w:lineRule="auto"/>
        <w:jc w:val="both"/>
        <w:rPr>
          <w:rFonts w:eastAsiaTheme="minorEastAsia"/>
          <w:sz w:val="24"/>
          <w:szCs w:val="24"/>
          <w:lang w:val="en-US"/>
        </w:rPr>
      </w:pPr>
    </w:p>
    <w:p w:rsidR="00BE130C" w:rsidRDefault="00BE130C" w:rsidP="00904F67">
      <w:pPr>
        <w:spacing w:line="480" w:lineRule="auto"/>
        <w:jc w:val="both"/>
        <w:rPr>
          <w:rFonts w:eastAsiaTheme="minorEastAsia"/>
          <w:sz w:val="24"/>
          <w:szCs w:val="24"/>
          <w:lang w:val="en-US"/>
        </w:rPr>
      </w:pPr>
      <w:r>
        <w:rPr>
          <w:rFonts w:eastAsiaTheme="minorEastAsia"/>
          <w:sz w:val="24"/>
          <w:szCs w:val="24"/>
          <w:lang w:val="en-US"/>
        </w:rPr>
        <w:t>Table 2: Factors descriptive statistics</w:t>
      </w:r>
    </w:p>
    <w:tbl>
      <w:tblPr>
        <w:tblW w:w="7758" w:type="dxa"/>
        <w:jc w:val="center"/>
        <w:tblInd w:w="53" w:type="dxa"/>
        <w:tblCellMar>
          <w:left w:w="70" w:type="dxa"/>
          <w:right w:w="70" w:type="dxa"/>
        </w:tblCellMar>
        <w:tblLook w:val="04A0"/>
      </w:tblPr>
      <w:tblGrid>
        <w:gridCol w:w="1293"/>
        <w:gridCol w:w="1293"/>
        <w:gridCol w:w="1293"/>
        <w:gridCol w:w="1293"/>
        <w:gridCol w:w="1293"/>
        <w:gridCol w:w="1293"/>
      </w:tblGrid>
      <w:tr w:rsidR="004944B9" w:rsidRPr="00D3772D" w:rsidTr="00D3772D">
        <w:trPr>
          <w:trHeight w:val="395"/>
          <w:jc w:val="center"/>
        </w:trPr>
        <w:tc>
          <w:tcPr>
            <w:tcW w:w="1293" w:type="dxa"/>
            <w:tcBorders>
              <w:top w:val="nil"/>
              <w:left w:val="nil"/>
              <w:bottom w:val="single" w:sz="4" w:space="0" w:color="auto"/>
              <w:right w:val="nil"/>
            </w:tcBorders>
            <w:shd w:val="clear" w:color="auto" w:fill="auto"/>
            <w:noWrap/>
            <w:vAlign w:val="bottom"/>
            <w:hideMark/>
          </w:tcPr>
          <w:p w:rsidR="004944B9" w:rsidRPr="004944B9" w:rsidRDefault="004944B9" w:rsidP="004944B9">
            <w:pPr>
              <w:spacing w:after="0" w:line="240" w:lineRule="auto"/>
              <w:rPr>
                <w:rFonts w:ascii="Calibri" w:eastAsia="Times New Roman" w:hAnsi="Calibri" w:cs="Times New Roman"/>
                <w:color w:val="000000"/>
                <w:lang w:val="fr-BE" w:eastAsia="fr-BE"/>
              </w:rPr>
            </w:pPr>
            <w:r w:rsidRPr="004944B9">
              <w:rPr>
                <w:rFonts w:ascii="Calibri" w:eastAsia="Times New Roman" w:hAnsi="Calibri" w:cs="Times New Roman"/>
                <w:color w:val="000000"/>
                <w:lang w:val="fr-BE" w:eastAsia="fr-BE"/>
              </w:rPr>
              <w:t> </w:t>
            </w:r>
          </w:p>
        </w:tc>
        <w:tc>
          <w:tcPr>
            <w:tcW w:w="1293" w:type="dxa"/>
            <w:tcBorders>
              <w:top w:val="nil"/>
              <w:left w:val="nil"/>
              <w:bottom w:val="single" w:sz="4" w:space="0" w:color="auto"/>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Mean</w:t>
            </w:r>
            <w:proofErr w:type="spellEnd"/>
          </w:p>
        </w:tc>
        <w:tc>
          <w:tcPr>
            <w:tcW w:w="1293" w:type="dxa"/>
            <w:tcBorders>
              <w:top w:val="nil"/>
              <w:left w:val="nil"/>
              <w:bottom w:val="single" w:sz="4" w:space="0" w:color="auto"/>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Median</w:t>
            </w:r>
            <w:proofErr w:type="spellEnd"/>
          </w:p>
        </w:tc>
        <w:tc>
          <w:tcPr>
            <w:tcW w:w="1293" w:type="dxa"/>
            <w:tcBorders>
              <w:top w:val="nil"/>
              <w:left w:val="nil"/>
              <w:bottom w:val="single" w:sz="4" w:space="0" w:color="auto"/>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 xml:space="preserve">St. </w:t>
            </w:r>
            <w:proofErr w:type="spellStart"/>
            <w:r w:rsidRPr="00D3772D">
              <w:rPr>
                <w:rFonts w:ascii="Calibri" w:eastAsia="Times New Roman" w:hAnsi="Calibri" w:cs="Times New Roman"/>
                <w:color w:val="000000"/>
                <w:sz w:val="24"/>
                <w:szCs w:val="24"/>
                <w:lang w:val="fr-BE" w:eastAsia="fr-BE"/>
              </w:rPr>
              <w:t>Dev</w:t>
            </w:r>
            <w:proofErr w:type="spellEnd"/>
            <w:r w:rsidRPr="00D3772D">
              <w:rPr>
                <w:rFonts w:ascii="Calibri" w:eastAsia="Times New Roman" w:hAnsi="Calibri" w:cs="Times New Roman"/>
                <w:color w:val="000000"/>
                <w:sz w:val="24"/>
                <w:szCs w:val="24"/>
                <w:lang w:val="fr-BE" w:eastAsia="fr-BE"/>
              </w:rPr>
              <w:t>.</w:t>
            </w:r>
          </w:p>
        </w:tc>
        <w:tc>
          <w:tcPr>
            <w:tcW w:w="1293" w:type="dxa"/>
            <w:tcBorders>
              <w:top w:val="nil"/>
              <w:left w:val="nil"/>
              <w:bottom w:val="single" w:sz="4" w:space="0" w:color="auto"/>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Min</w:t>
            </w:r>
          </w:p>
        </w:tc>
        <w:tc>
          <w:tcPr>
            <w:tcW w:w="1293" w:type="dxa"/>
            <w:tcBorders>
              <w:top w:val="nil"/>
              <w:left w:val="nil"/>
              <w:bottom w:val="single" w:sz="4" w:space="0" w:color="auto"/>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Max</w:t>
            </w:r>
          </w:p>
        </w:tc>
      </w:tr>
      <w:tr w:rsidR="004944B9" w:rsidRPr="004944B9" w:rsidTr="00D3772D">
        <w:trPr>
          <w:trHeight w:val="474"/>
          <w:jc w:val="center"/>
        </w:trPr>
        <w:tc>
          <w:tcPr>
            <w:tcW w:w="1293" w:type="dxa"/>
            <w:tcBorders>
              <w:top w:val="nil"/>
              <w:left w:val="nil"/>
              <w:bottom w:val="nil"/>
              <w:right w:val="nil"/>
            </w:tcBorders>
            <w:shd w:val="clear" w:color="auto" w:fill="auto"/>
            <w:noWrap/>
            <w:vAlign w:val="bottom"/>
            <w:hideMark/>
          </w:tcPr>
          <w:p w:rsidR="00AA39D3" w:rsidRPr="00D3772D" w:rsidRDefault="00AA39D3" w:rsidP="004944B9">
            <w:pPr>
              <w:spacing w:after="0" w:line="240" w:lineRule="auto"/>
              <w:rPr>
                <w:rFonts w:ascii="Calibri" w:eastAsia="Times New Roman" w:hAnsi="Calibri" w:cs="Times New Roman"/>
                <w:color w:val="000000"/>
                <w:sz w:val="24"/>
                <w:szCs w:val="24"/>
                <w:lang w:val="fr-BE" w:eastAsia="fr-BE"/>
              </w:rPr>
            </w:pPr>
          </w:p>
          <w:p w:rsidR="004944B9" w:rsidRPr="00D3772D" w:rsidRDefault="004944B9" w:rsidP="004944B9">
            <w:pPr>
              <w:spacing w:after="0" w:line="240" w:lineRule="auto"/>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MKT</w:t>
            </w:r>
            <w:r w:rsidRPr="00D3772D">
              <w:rPr>
                <w:rFonts w:ascii="Calibri" w:eastAsia="Times New Roman" w:hAnsi="Calibri" w:cs="Times New Roman"/>
                <w:color w:val="000000"/>
                <w:sz w:val="24"/>
                <w:szCs w:val="24"/>
                <w:vertAlign w:val="subscript"/>
                <w:lang w:val="fr-BE" w:eastAsia="fr-BE"/>
              </w:rPr>
              <w:t>t</w:t>
            </w:r>
            <w:proofErr w:type="spellEnd"/>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0.46%</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0.86%</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4.70%</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-23.14%</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16.05%</w:t>
            </w:r>
          </w:p>
        </w:tc>
      </w:tr>
      <w:tr w:rsidR="004944B9" w:rsidRPr="004944B9" w:rsidTr="00D3772D">
        <w:trPr>
          <w:trHeight w:val="474"/>
          <w:jc w:val="center"/>
        </w:trPr>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SMB</w:t>
            </w:r>
            <w:r w:rsidRPr="00D3772D">
              <w:rPr>
                <w:rFonts w:ascii="Calibri" w:eastAsia="Times New Roman" w:hAnsi="Calibri" w:cs="Times New Roman"/>
                <w:color w:val="000000"/>
                <w:sz w:val="24"/>
                <w:szCs w:val="24"/>
                <w:vertAlign w:val="subscript"/>
                <w:lang w:val="fr-BE" w:eastAsia="fr-BE"/>
              </w:rPr>
              <w:t>t</w:t>
            </w:r>
            <w:proofErr w:type="spellEnd"/>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0.20%</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0.05%</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3.23%</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-16.67%</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22.19%</w:t>
            </w:r>
          </w:p>
        </w:tc>
      </w:tr>
      <w:tr w:rsidR="004944B9" w:rsidRPr="004944B9" w:rsidTr="00D3772D">
        <w:trPr>
          <w:trHeight w:val="474"/>
          <w:jc w:val="center"/>
        </w:trPr>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HML</w:t>
            </w:r>
            <w:r w:rsidRPr="00D3772D">
              <w:rPr>
                <w:rFonts w:ascii="Calibri" w:eastAsia="Times New Roman" w:hAnsi="Calibri" w:cs="Times New Roman"/>
                <w:color w:val="000000"/>
                <w:sz w:val="24"/>
                <w:szCs w:val="24"/>
                <w:vertAlign w:val="subscript"/>
                <w:lang w:val="fr-BE" w:eastAsia="fr-BE"/>
              </w:rPr>
              <w:t>t</w:t>
            </w:r>
            <w:proofErr w:type="spellEnd"/>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0.43%</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0.42%</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3.07%</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-12.78%</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13.84%</w:t>
            </w:r>
          </w:p>
        </w:tc>
      </w:tr>
      <w:tr w:rsidR="004944B9" w:rsidRPr="004944B9" w:rsidTr="00D3772D">
        <w:trPr>
          <w:trHeight w:val="474"/>
          <w:jc w:val="center"/>
        </w:trPr>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MOM</w:t>
            </w:r>
            <w:r w:rsidRPr="00D3772D">
              <w:rPr>
                <w:rFonts w:ascii="Calibri" w:eastAsia="Times New Roman" w:hAnsi="Calibri" w:cs="Times New Roman"/>
                <w:color w:val="000000"/>
                <w:sz w:val="24"/>
                <w:szCs w:val="24"/>
                <w:vertAlign w:val="subscript"/>
                <w:lang w:val="fr-BE" w:eastAsia="fr-BE"/>
              </w:rPr>
              <w:t>t</w:t>
            </w:r>
            <w:proofErr w:type="spellEnd"/>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0.69%</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0.82%</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4.56%</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-34.75%</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18.39%</w:t>
            </w:r>
          </w:p>
        </w:tc>
      </w:tr>
      <w:tr w:rsidR="004944B9" w:rsidRPr="004944B9" w:rsidTr="00D3772D">
        <w:trPr>
          <w:trHeight w:val="474"/>
          <w:jc w:val="center"/>
        </w:trPr>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V</w:t>
            </w:r>
            <w:r w:rsidRPr="00D3772D">
              <w:rPr>
                <w:rFonts w:ascii="Calibri" w:eastAsia="Times New Roman" w:hAnsi="Calibri" w:cs="Times New Roman"/>
                <w:color w:val="000000"/>
                <w:sz w:val="24"/>
                <w:szCs w:val="24"/>
                <w:vertAlign w:val="subscript"/>
                <w:lang w:val="fr-BE" w:eastAsia="fr-BE"/>
              </w:rPr>
              <w:t>m</w:t>
            </w:r>
            <w:proofErr w:type="gramStart"/>
            <w:r w:rsidRPr="00D3772D">
              <w:rPr>
                <w:rFonts w:ascii="Calibri" w:eastAsia="Times New Roman" w:hAnsi="Calibri" w:cs="Times New Roman"/>
                <w:color w:val="000000"/>
                <w:sz w:val="24"/>
                <w:szCs w:val="24"/>
                <w:vertAlign w:val="subscript"/>
                <w:lang w:val="fr-BE" w:eastAsia="fr-BE"/>
              </w:rPr>
              <w:t>,t</w:t>
            </w:r>
            <w:proofErr w:type="spellEnd"/>
            <w:proofErr w:type="gramEnd"/>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2.27E-03</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2.01E-03</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1.16E-03</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8.75E-04</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7.80E-03</w:t>
            </w:r>
          </w:p>
        </w:tc>
      </w:tr>
      <w:tr w:rsidR="004944B9" w:rsidRPr="004944B9" w:rsidTr="00D3772D">
        <w:trPr>
          <w:trHeight w:val="474"/>
          <w:jc w:val="center"/>
        </w:trPr>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rPr>
                <w:rFonts w:ascii="Calibri" w:eastAsia="Times New Roman" w:hAnsi="Calibri" w:cs="Times New Roman"/>
                <w:color w:val="000000"/>
                <w:sz w:val="24"/>
                <w:szCs w:val="24"/>
                <w:lang w:val="fr-BE" w:eastAsia="fr-BE"/>
              </w:rPr>
            </w:pPr>
            <w:proofErr w:type="spellStart"/>
            <w:r w:rsidRPr="00D3772D">
              <w:rPr>
                <w:rFonts w:ascii="Calibri" w:eastAsia="Times New Roman" w:hAnsi="Calibri" w:cs="Times New Roman"/>
                <w:color w:val="000000"/>
                <w:sz w:val="24"/>
                <w:szCs w:val="24"/>
                <w:lang w:val="fr-BE" w:eastAsia="fr-BE"/>
              </w:rPr>
              <w:t>L</w:t>
            </w:r>
            <w:r w:rsidRPr="00D3772D">
              <w:rPr>
                <w:rFonts w:ascii="Calibri" w:eastAsia="Times New Roman" w:hAnsi="Calibri" w:cs="Times New Roman"/>
                <w:color w:val="000000"/>
                <w:sz w:val="24"/>
                <w:szCs w:val="24"/>
                <w:vertAlign w:val="subscript"/>
                <w:lang w:val="fr-BE" w:eastAsia="fr-BE"/>
              </w:rPr>
              <w:t>m</w:t>
            </w:r>
            <w:proofErr w:type="gramStart"/>
            <w:r w:rsidRPr="00D3772D">
              <w:rPr>
                <w:rFonts w:ascii="Calibri" w:eastAsia="Times New Roman" w:hAnsi="Calibri" w:cs="Times New Roman"/>
                <w:color w:val="000000"/>
                <w:sz w:val="24"/>
                <w:szCs w:val="24"/>
                <w:vertAlign w:val="subscript"/>
                <w:lang w:val="fr-BE" w:eastAsia="fr-BE"/>
              </w:rPr>
              <w:t>,t</w:t>
            </w:r>
            <w:proofErr w:type="spellEnd"/>
            <w:proofErr w:type="gramEnd"/>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-3.37%</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-2.38%</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6.57%</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-46.10%</w:t>
            </w:r>
          </w:p>
        </w:tc>
        <w:tc>
          <w:tcPr>
            <w:tcW w:w="1293" w:type="dxa"/>
            <w:tcBorders>
              <w:top w:val="nil"/>
              <w:left w:val="nil"/>
              <w:bottom w:val="nil"/>
              <w:right w:val="nil"/>
            </w:tcBorders>
            <w:shd w:val="clear" w:color="auto" w:fill="auto"/>
            <w:noWrap/>
            <w:vAlign w:val="bottom"/>
            <w:hideMark/>
          </w:tcPr>
          <w:p w:rsidR="004944B9" w:rsidRPr="00D3772D" w:rsidRDefault="004944B9" w:rsidP="004944B9">
            <w:pPr>
              <w:spacing w:after="0" w:line="240" w:lineRule="auto"/>
              <w:jc w:val="center"/>
              <w:rPr>
                <w:rFonts w:ascii="Calibri" w:eastAsia="Times New Roman" w:hAnsi="Calibri" w:cs="Times New Roman"/>
                <w:color w:val="000000"/>
                <w:sz w:val="24"/>
                <w:szCs w:val="24"/>
                <w:lang w:val="fr-BE" w:eastAsia="fr-BE"/>
              </w:rPr>
            </w:pPr>
            <w:r w:rsidRPr="00D3772D">
              <w:rPr>
                <w:rFonts w:ascii="Calibri" w:eastAsia="Times New Roman" w:hAnsi="Calibri" w:cs="Times New Roman"/>
                <w:color w:val="000000"/>
                <w:sz w:val="24"/>
                <w:szCs w:val="24"/>
                <w:lang w:val="fr-BE" w:eastAsia="fr-BE"/>
              </w:rPr>
              <w:t>20.06%</w:t>
            </w:r>
          </w:p>
        </w:tc>
      </w:tr>
      <w:tr w:rsidR="00AA39D3" w:rsidRPr="004944B9" w:rsidTr="00D3772D">
        <w:trPr>
          <w:trHeight w:val="474"/>
          <w:jc w:val="center"/>
        </w:trPr>
        <w:tc>
          <w:tcPr>
            <w:tcW w:w="1293" w:type="dxa"/>
            <w:tcBorders>
              <w:top w:val="nil"/>
              <w:left w:val="nil"/>
              <w:bottom w:val="single" w:sz="4" w:space="0" w:color="auto"/>
              <w:right w:val="nil"/>
            </w:tcBorders>
            <w:shd w:val="clear" w:color="auto" w:fill="auto"/>
            <w:noWrap/>
            <w:vAlign w:val="bottom"/>
            <w:hideMark/>
          </w:tcPr>
          <w:p w:rsidR="00AA39D3" w:rsidRPr="004944B9" w:rsidRDefault="00AA39D3" w:rsidP="004944B9">
            <w:pPr>
              <w:spacing w:after="0" w:line="240" w:lineRule="auto"/>
              <w:rPr>
                <w:rFonts w:ascii="Calibri" w:eastAsia="Times New Roman" w:hAnsi="Calibri" w:cs="Times New Roman"/>
                <w:color w:val="000000"/>
                <w:lang w:val="fr-BE" w:eastAsia="fr-BE"/>
              </w:rPr>
            </w:pPr>
          </w:p>
        </w:tc>
        <w:tc>
          <w:tcPr>
            <w:tcW w:w="1293" w:type="dxa"/>
            <w:tcBorders>
              <w:top w:val="nil"/>
              <w:left w:val="nil"/>
              <w:bottom w:val="single" w:sz="4" w:space="0" w:color="auto"/>
              <w:right w:val="nil"/>
            </w:tcBorders>
            <w:shd w:val="clear" w:color="auto" w:fill="auto"/>
            <w:noWrap/>
            <w:vAlign w:val="bottom"/>
            <w:hideMark/>
          </w:tcPr>
          <w:p w:rsidR="00AA39D3" w:rsidRPr="004944B9" w:rsidRDefault="00AA39D3" w:rsidP="004944B9">
            <w:pPr>
              <w:spacing w:after="0" w:line="240" w:lineRule="auto"/>
              <w:jc w:val="center"/>
              <w:rPr>
                <w:rFonts w:ascii="Calibri" w:eastAsia="Times New Roman" w:hAnsi="Calibri" w:cs="Times New Roman"/>
                <w:color w:val="000000"/>
                <w:lang w:val="fr-BE" w:eastAsia="fr-BE"/>
              </w:rPr>
            </w:pPr>
          </w:p>
        </w:tc>
        <w:tc>
          <w:tcPr>
            <w:tcW w:w="1293" w:type="dxa"/>
            <w:tcBorders>
              <w:top w:val="nil"/>
              <w:left w:val="nil"/>
              <w:bottom w:val="single" w:sz="4" w:space="0" w:color="auto"/>
              <w:right w:val="nil"/>
            </w:tcBorders>
            <w:shd w:val="clear" w:color="auto" w:fill="auto"/>
            <w:noWrap/>
            <w:vAlign w:val="bottom"/>
            <w:hideMark/>
          </w:tcPr>
          <w:p w:rsidR="00AA39D3" w:rsidRPr="004944B9" w:rsidRDefault="00AA39D3" w:rsidP="004944B9">
            <w:pPr>
              <w:spacing w:after="0" w:line="240" w:lineRule="auto"/>
              <w:jc w:val="center"/>
              <w:rPr>
                <w:rFonts w:ascii="Calibri" w:eastAsia="Times New Roman" w:hAnsi="Calibri" w:cs="Times New Roman"/>
                <w:color w:val="000000"/>
                <w:lang w:val="fr-BE" w:eastAsia="fr-BE"/>
              </w:rPr>
            </w:pPr>
          </w:p>
        </w:tc>
        <w:tc>
          <w:tcPr>
            <w:tcW w:w="1293" w:type="dxa"/>
            <w:tcBorders>
              <w:top w:val="nil"/>
              <w:left w:val="nil"/>
              <w:bottom w:val="single" w:sz="4" w:space="0" w:color="auto"/>
              <w:right w:val="nil"/>
            </w:tcBorders>
            <w:shd w:val="clear" w:color="auto" w:fill="auto"/>
            <w:noWrap/>
            <w:vAlign w:val="bottom"/>
            <w:hideMark/>
          </w:tcPr>
          <w:p w:rsidR="00AA39D3" w:rsidRPr="004944B9" w:rsidRDefault="00AA39D3" w:rsidP="004944B9">
            <w:pPr>
              <w:spacing w:after="0" w:line="240" w:lineRule="auto"/>
              <w:jc w:val="center"/>
              <w:rPr>
                <w:rFonts w:ascii="Calibri" w:eastAsia="Times New Roman" w:hAnsi="Calibri" w:cs="Times New Roman"/>
                <w:color w:val="000000"/>
                <w:lang w:val="fr-BE" w:eastAsia="fr-BE"/>
              </w:rPr>
            </w:pPr>
          </w:p>
        </w:tc>
        <w:tc>
          <w:tcPr>
            <w:tcW w:w="1293" w:type="dxa"/>
            <w:tcBorders>
              <w:top w:val="nil"/>
              <w:left w:val="nil"/>
              <w:bottom w:val="single" w:sz="4" w:space="0" w:color="auto"/>
              <w:right w:val="nil"/>
            </w:tcBorders>
            <w:shd w:val="clear" w:color="auto" w:fill="auto"/>
            <w:noWrap/>
            <w:vAlign w:val="bottom"/>
            <w:hideMark/>
          </w:tcPr>
          <w:p w:rsidR="00AA39D3" w:rsidRPr="004944B9" w:rsidRDefault="00AA39D3" w:rsidP="004944B9">
            <w:pPr>
              <w:spacing w:after="0" w:line="240" w:lineRule="auto"/>
              <w:jc w:val="center"/>
              <w:rPr>
                <w:rFonts w:ascii="Calibri" w:eastAsia="Times New Roman" w:hAnsi="Calibri" w:cs="Times New Roman"/>
                <w:color w:val="000000"/>
                <w:lang w:val="fr-BE" w:eastAsia="fr-BE"/>
              </w:rPr>
            </w:pPr>
          </w:p>
        </w:tc>
        <w:tc>
          <w:tcPr>
            <w:tcW w:w="1293" w:type="dxa"/>
            <w:tcBorders>
              <w:top w:val="nil"/>
              <w:left w:val="nil"/>
              <w:bottom w:val="single" w:sz="4" w:space="0" w:color="auto"/>
              <w:right w:val="nil"/>
            </w:tcBorders>
            <w:shd w:val="clear" w:color="auto" w:fill="auto"/>
            <w:noWrap/>
            <w:vAlign w:val="bottom"/>
            <w:hideMark/>
          </w:tcPr>
          <w:p w:rsidR="00AA39D3" w:rsidRPr="004944B9" w:rsidRDefault="00AA39D3" w:rsidP="004944B9">
            <w:pPr>
              <w:spacing w:after="0" w:line="240" w:lineRule="auto"/>
              <w:jc w:val="center"/>
              <w:rPr>
                <w:rFonts w:ascii="Calibri" w:eastAsia="Times New Roman" w:hAnsi="Calibri" w:cs="Times New Roman"/>
                <w:color w:val="000000"/>
                <w:lang w:val="fr-BE" w:eastAsia="fr-BE"/>
              </w:rPr>
            </w:pPr>
          </w:p>
        </w:tc>
      </w:tr>
    </w:tbl>
    <w:p w:rsidR="00BE130C" w:rsidRDefault="00BE130C" w:rsidP="00904F67">
      <w:pPr>
        <w:spacing w:line="480" w:lineRule="auto"/>
        <w:jc w:val="both"/>
        <w:rPr>
          <w:rFonts w:eastAsiaTheme="minorEastAsia"/>
          <w:sz w:val="24"/>
          <w:szCs w:val="24"/>
          <w:lang w:val="en-US"/>
        </w:rPr>
      </w:pPr>
    </w:p>
    <w:p w:rsidR="00605AFD" w:rsidRDefault="00605AFD" w:rsidP="00904F67">
      <w:pPr>
        <w:spacing w:line="480" w:lineRule="auto"/>
        <w:jc w:val="both"/>
        <w:rPr>
          <w:rFonts w:eastAsiaTheme="minorEastAsia"/>
          <w:sz w:val="24"/>
          <w:szCs w:val="24"/>
          <w:lang w:val="en-US"/>
        </w:rPr>
      </w:pPr>
    </w:p>
    <w:p w:rsidR="00605AFD" w:rsidRDefault="00605AFD" w:rsidP="00904F67">
      <w:pPr>
        <w:spacing w:line="480" w:lineRule="auto"/>
        <w:jc w:val="both"/>
        <w:rPr>
          <w:rFonts w:eastAsiaTheme="minorEastAsia"/>
          <w:sz w:val="24"/>
          <w:szCs w:val="24"/>
          <w:lang w:val="en-US"/>
        </w:rPr>
      </w:pPr>
    </w:p>
    <w:p w:rsidR="00605AFD" w:rsidRDefault="00605AFD" w:rsidP="00904F67">
      <w:pPr>
        <w:spacing w:line="480" w:lineRule="auto"/>
        <w:jc w:val="both"/>
        <w:rPr>
          <w:rFonts w:eastAsiaTheme="minorEastAsia"/>
          <w:sz w:val="24"/>
          <w:szCs w:val="24"/>
          <w:lang w:val="en-US"/>
        </w:rPr>
      </w:pPr>
    </w:p>
    <w:p w:rsidR="008573AF" w:rsidRDefault="0019549D" w:rsidP="00904F67">
      <w:pPr>
        <w:spacing w:line="480" w:lineRule="auto"/>
        <w:jc w:val="both"/>
        <w:rPr>
          <w:b/>
          <w:sz w:val="28"/>
          <w:szCs w:val="28"/>
          <w:lang w:val="en-US"/>
        </w:rPr>
      </w:pPr>
      <w:r>
        <w:rPr>
          <w:b/>
          <w:sz w:val="28"/>
          <w:szCs w:val="28"/>
          <w:lang w:val="en-US"/>
        </w:rPr>
        <w:lastRenderedPageBreak/>
        <w:t>Methodology</w:t>
      </w:r>
    </w:p>
    <w:p w:rsidR="001849C2" w:rsidRDefault="0019549D" w:rsidP="00FE5537">
      <w:pPr>
        <w:spacing w:line="480" w:lineRule="auto"/>
        <w:jc w:val="both"/>
        <w:rPr>
          <w:sz w:val="24"/>
          <w:szCs w:val="24"/>
          <w:lang w:val="en-US"/>
        </w:rPr>
      </w:pPr>
      <w:r>
        <w:rPr>
          <w:sz w:val="24"/>
          <w:szCs w:val="24"/>
          <w:lang w:val="en-US"/>
        </w:rPr>
        <w:t>The goal of this paper is to investigate</w:t>
      </w:r>
      <w:r w:rsidR="008747EF">
        <w:rPr>
          <w:sz w:val="24"/>
          <w:szCs w:val="24"/>
          <w:lang w:val="en-US"/>
        </w:rPr>
        <w:t xml:space="preserve"> in a single analysis</w:t>
      </w:r>
      <w:r>
        <w:rPr>
          <w:sz w:val="24"/>
          <w:szCs w:val="24"/>
          <w:lang w:val="en-US"/>
        </w:rPr>
        <w:t xml:space="preserve"> the market timing ability of mutual fund managers </w:t>
      </w:r>
      <w:r w:rsidR="008747EF">
        <w:rPr>
          <w:sz w:val="24"/>
          <w:szCs w:val="24"/>
          <w:lang w:val="en-US"/>
        </w:rPr>
        <w:t>from three different perspectives i.e. return-timing, volatility-timing and liquidity-timing.</w:t>
      </w:r>
      <w:r w:rsidR="001849C2">
        <w:rPr>
          <w:sz w:val="24"/>
          <w:szCs w:val="24"/>
          <w:lang w:val="en-US"/>
        </w:rPr>
        <w:t xml:space="preserve"> We use the </w:t>
      </w:r>
      <w:proofErr w:type="spellStart"/>
      <w:r w:rsidR="001849C2">
        <w:rPr>
          <w:sz w:val="24"/>
          <w:szCs w:val="24"/>
          <w:lang w:val="en-US"/>
        </w:rPr>
        <w:t>Fama</w:t>
      </w:r>
      <w:proofErr w:type="spellEnd"/>
      <w:r w:rsidR="001849C2">
        <w:rPr>
          <w:sz w:val="24"/>
          <w:szCs w:val="24"/>
          <w:lang w:val="en-US"/>
        </w:rPr>
        <w:t xml:space="preserve"> and French (1992) model augmented with the </w:t>
      </w:r>
      <w:proofErr w:type="spellStart"/>
      <w:r w:rsidR="001849C2">
        <w:rPr>
          <w:sz w:val="24"/>
          <w:szCs w:val="24"/>
          <w:lang w:val="en-US"/>
        </w:rPr>
        <w:t>Carhart</w:t>
      </w:r>
      <w:proofErr w:type="spellEnd"/>
      <w:r w:rsidR="001849C2">
        <w:rPr>
          <w:sz w:val="24"/>
          <w:szCs w:val="24"/>
          <w:lang w:val="en-US"/>
        </w:rPr>
        <w:t xml:space="preserve"> (1997) momentum factor to model mutual fund returns.</w:t>
      </w:r>
    </w:p>
    <w:p w:rsidR="001849C2" w:rsidRDefault="001849C2" w:rsidP="00FE5537">
      <w:pPr>
        <w:spacing w:line="480" w:lineRule="auto"/>
        <w:jc w:val="both"/>
        <w:rPr>
          <w:sz w:val="24"/>
          <w:szCs w:val="24"/>
          <w:lang w:val="en-US"/>
        </w:rPr>
      </w:pPr>
    </w:p>
    <w:p w:rsidR="001849C2" w:rsidRDefault="005947A1" w:rsidP="00FE5537">
      <w:pPr>
        <w:spacing w:line="480" w:lineRule="auto"/>
        <w:jc w:val="both"/>
        <w:rPr>
          <w:rFonts w:eastAsiaTheme="minorEastAsia"/>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i,t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α</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1,i,t</m:t>
            </m:r>
          </m:sub>
        </m:sSub>
        <m:r>
          <w:rPr>
            <w:rFonts w:ascii="Cambria Math" w:hAnsi="Cambria Math"/>
            <w:sz w:val="24"/>
            <w:szCs w:val="24"/>
            <w:lang w:val="en-US"/>
          </w:rPr>
          <m:t>MK</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2,i</m:t>
            </m:r>
          </m:sub>
        </m:sSub>
        <m:r>
          <w:rPr>
            <w:rFonts w:ascii="Cambria Math" w:hAnsi="Cambria Math"/>
            <w:sz w:val="24"/>
            <w:szCs w:val="24"/>
            <w:lang w:val="en-US"/>
          </w:rPr>
          <m:t>HM</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3,i</m:t>
            </m:r>
          </m:sub>
        </m:sSub>
        <m:r>
          <w:rPr>
            <w:rFonts w:ascii="Cambria Math" w:hAnsi="Cambria Math"/>
            <w:sz w:val="24"/>
            <w:szCs w:val="24"/>
            <w:lang w:val="en-US"/>
          </w:rPr>
          <m:t>SM</m:t>
        </m:r>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4,i</m:t>
            </m:r>
          </m:sub>
        </m:sSub>
        <m:r>
          <w:rPr>
            <w:rFonts w:ascii="Cambria Math" w:hAnsi="Cambria Math"/>
            <w:sz w:val="24"/>
            <w:szCs w:val="24"/>
            <w:lang w:val="en-US"/>
          </w:rPr>
          <m:t>MO</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ϵ</m:t>
            </m:r>
          </m:e>
          <m:sub>
            <m:r>
              <w:rPr>
                <w:rFonts w:ascii="Cambria Math" w:hAnsi="Cambria Math"/>
                <w:sz w:val="24"/>
                <w:szCs w:val="24"/>
                <w:lang w:val="en-US"/>
              </w:rPr>
              <m:t>i,t</m:t>
            </m:r>
          </m:sub>
        </m:sSub>
      </m:oMath>
      <w:r w:rsidR="00636F51">
        <w:rPr>
          <w:rFonts w:eastAsiaTheme="minorEastAsia"/>
          <w:sz w:val="24"/>
          <w:szCs w:val="24"/>
          <w:lang w:val="en-US"/>
        </w:rPr>
        <w:t xml:space="preserve">  </w:t>
      </w:r>
      <w:r w:rsidR="00636F51">
        <w:rPr>
          <w:rFonts w:eastAsiaTheme="minorEastAsia"/>
          <w:sz w:val="24"/>
          <w:szCs w:val="24"/>
          <w:lang w:val="en-US"/>
        </w:rPr>
        <w:tab/>
      </w:r>
      <w:r w:rsidR="00636F51">
        <w:rPr>
          <w:rFonts w:eastAsiaTheme="minorEastAsia"/>
          <w:sz w:val="24"/>
          <w:szCs w:val="24"/>
          <w:lang w:val="en-US"/>
        </w:rPr>
        <w:tab/>
      </w:r>
      <w:r w:rsidR="00636F51">
        <w:rPr>
          <w:rFonts w:eastAsiaTheme="minorEastAsia"/>
          <w:sz w:val="24"/>
          <w:szCs w:val="24"/>
          <w:lang w:val="en-US"/>
        </w:rPr>
        <w:tab/>
        <w:t xml:space="preserve">     [4]</w:t>
      </w:r>
    </w:p>
    <w:p w:rsidR="005623E8" w:rsidRDefault="005623E8" w:rsidP="00FE5537">
      <w:pPr>
        <w:spacing w:line="480" w:lineRule="auto"/>
        <w:jc w:val="both"/>
        <w:rPr>
          <w:sz w:val="24"/>
          <w:szCs w:val="24"/>
          <w:lang w:val="en-US"/>
        </w:rPr>
      </w:pPr>
    </w:p>
    <w:p w:rsidR="001849C2" w:rsidRDefault="001849C2" w:rsidP="00FE5537">
      <w:pPr>
        <w:spacing w:line="480" w:lineRule="auto"/>
        <w:jc w:val="both"/>
        <w:rPr>
          <w:rFonts w:eastAsiaTheme="minorEastAsia"/>
          <w:sz w:val="24"/>
          <w:szCs w:val="24"/>
          <w:lang w:val="en-US"/>
        </w:rPr>
      </w:pPr>
      <w:r>
        <w:rPr>
          <w:sz w:val="24"/>
          <w:szCs w:val="24"/>
          <w:lang w:val="en-US"/>
        </w:rPr>
        <w:t xml:space="preserve">Where </w:t>
      </w: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i,t</m:t>
            </m:r>
          </m:sub>
        </m:sSub>
      </m:oMath>
      <w:r>
        <w:rPr>
          <w:rFonts w:eastAsiaTheme="minorEastAsia"/>
          <w:sz w:val="24"/>
          <w:szCs w:val="24"/>
          <w:lang w:val="en-US"/>
        </w:rPr>
        <w:t xml:space="preserve"> is the excess return of mutual fund </w:t>
      </w:r>
      <w:proofErr w:type="spellStart"/>
      <w:r w:rsidRPr="001849C2">
        <w:rPr>
          <w:rFonts w:eastAsiaTheme="minorEastAsia"/>
          <w:i/>
          <w:sz w:val="24"/>
          <w:szCs w:val="24"/>
          <w:lang w:val="en-US"/>
        </w:rPr>
        <w:t>i</w:t>
      </w:r>
      <w:proofErr w:type="spellEnd"/>
      <w:r>
        <w:rPr>
          <w:rFonts w:eastAsiaTheme="minorEastAsia"/>
          <w:sz w:val="24"/>
          <w:szCs w:val="24"/>
          <w:lang w:val="en-US"/>
        </w:rPr>
        <w:t xml:space="preserve"> at time </w:t>
      </w:r>
      <w:r w:rsidRPr="001849C2">
        <w:rPr>
          <w:rFonts w:eastAsiaTheme="minorEastAsia"/>
          <w:i/>
          <w:sz w:val="24"/>
          <w:szCs w:val="24"/>
          <w:lang w:val="en-US"/>
        </w:rPr>
        <w:t>t</w:t>
      </w:r>
      <w:r>
        <w:rPr>
          <w:rFonts w:eastAsiaTheme="minorEastAsia"/>
          <w:sz w:val="24"/>
          <w:szCs w:val="24"/>
          <w:lang w:val="en-US"/>
        </w:rPr>
        <w:t>.</w:t>
      </w:r>
    </w:p>
    <w:p w:rsidR="00FE5537" w:rsidRDefault="00636F51" w:rsidP="00FE5537">
      <w:pPr>
        <w:spacing w:line="480" w:lineRule="auto"/>
        <w:jc w:val="both"/>
        <w:rPr>
          <w:sz w:val="24"/>
          <w:szCs w:val="24"/>
          <w:lang w:val="en-US"/>
        </w:rPr>
      </w:pPr>
      <w:r>
        <w:rPr>
          <w:rFonts w:eastAsiaTheme="minorEastAsia"/>
          <w:sz w:val="24"/>
          <w:szCs w:val="24"/>
          <w:lang w:val="en-US"/>
        </w:rPr>
        <w:t xml:space="preserve">In order to test market timing ability of mutual fund managers, we model the change in the market exposure as a linear function of changes in market returns, in market volatility and market liquidity. </w:t>
      </w:r>
      <w:r w:rsidR="008747EF">
        <w:rPr>
          <w:sz w:val="24"/>
          <w:szCs w:val="24"/>
          <w:lang w:val="en-US"/>
        </w:rPr>
        <w:t xml:space="preserve"> </w:t>
      </w:r>
      <w:r w:rsidR="002B16D1">
        <w:rPr>
          <w:sz w:val="24"/>
          <w:szCs w:val="24"/>
          <w:lang w:val="en-US"/>
        </w:rPr>
        <w:t xml:space="preserve">Unlike previous studies on market timing, we do not impose the existence of an average market exposure for mutual funds. Instead, we allow the </w:t>
      </w:r>
      <w:r w:rsidR="002E3A26">
        <w:rPr>
          <w:sz w:val="24"/>
          <w:szCs w:val="24"/>
          <w:lang w:val="en-US"/>
        </w:rPr>
        <w:t>presence</w:t>
      </w:r>
      <w:r w:rsidR="002B16D1">
        <w:rPr>
          <w:sz w:val="24"/>
          <w:szCs w:val="24"/>
          <w:lang w:val="en-US"/>
        </w:rPr>
        <w:t xml:space="preserve"> of dynamics in mutual fund market exposure</w:t>
      </w:r>
      <w:r w:rsidR="002E3A26">
        <w:rPr>
          <w:sz w:val="24"/>
          <w:szCs w:val="24"/>
          <w:lang w:val="en-US"/>
        </w:rPr>
        <w:t>s</w:t>
      </w:r>
      <w:r w:rsidR="002B16D1">
        <w:rPr>
          <w:sz w:val="24"/>
          <w:szCs w:val="24"/>
          <w:lang w:val="en-US"/>
        </w:rPr>
        <w:t xml:space="preserve"> even in the absence of any market timing ability by letting </w:t>
      </w:r>
      <w:r w:rsidR="001849C2">
        <w:rPr>
          <w:sz w:val="24"/>
          <w:szCs w:val="24"/>
          <w:lang w:val="en-US"/>
        </w:rPr>
        <w:t xml:space="preserve">their market beta follow a random walk when no market timing ability is detected. </w:t>
      </w:r>
      <w:r w:rsidR="002E3A26">
        <w:rPr>
          <w:sz w:val="24"/>
          <w:szCs w:val="24"/>
          <w:lang w:val="en-US"/>
        </w:rPr>
        <w:t xml:space="preserve">As a consequence, there may be dynamics in market exposure of mutual funds which may not be due to any market timing ability of funds’ managers such as changes in investment strategies or changes in the exposure of underlying assets. This allows us to detect the part of mutual funds market exposure which is truly due to the market timing ability of their managers. </w:t>
      </w:r>
    </w:p>
    <w:p w:rsidR="00636F51" w:rsidRDefault="00636F51" w:rsidP="00FE5537">
      <w:pPr>
        <w:spacing w:line="480" w:lineRule="auto"/>
        <w:jc w:val="both"/>
        <w:rPr>
          <w:sz w:val="24"/>
          <w:szCs w:val="24"/>
          <w:lang w:val="en-US"/>
        </w:rPr>
      </w:pPr>
    </w:p>
    <w:p w:rsidR="00636F51" w:rsidRDefault="00636F51" w:rsidP="00FE5537">
      <w:pPr>
        <w:spacing w:line="480" w:lineRule="auto"/>
        <w:jc w:val="both"/>
        <w:rPr>
          <w:rFonts w:eastAsiaTheme="minorEastAsia"/>
          <w:sz w:val="24"/>
          <w:szCs w:val="24"/>
          <w:lang w:val="en-US"/>
        </w:rPr>
      </w:pPr>
      <m:oMath>
        <m:r>
          <m:rPr>
            <m:sty m:val="p"/>
          </m:rPr>
          <w:rPr>
            <w:rFonts w:ascii="Cambria Math" w:eastAsiaTheme="minorEastAsia" w:hAnsi="Cambria Math"/>
            <w:sz w:val="24"/>
            <w:szCs w:val="24"/>
            <w:lang w:val="en-US"/>
          </w:rPr>
          <w:lastRenderedPageBreak/>
          <m:t>Δ</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1,i,t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1,i</m:t>
            </m:r>
          </m:sub>
        </m:sSub>
        <m:r>
          <m:rPr>
            <m:sty m:val="p"/>
          </m:rPr>
          <w:rPr>
            <w:rFonts w:ascii="Cambria Math" w:hAnsi="Cambria Math"/>
            <w:sz w:val="24"/>
            <w:szCs w:val="24"/>
            <w:lang w:val="en-US"/>
          </w:rPr>
          <m:t>Δ</m:t>
        </m:r>
        <m:r>
          <w:rPr>
            <w:rFonts w:ascii="Cambria Math" w:hAnsi="Cambria Math"/>
            <w:sz w:val="24"/>
            <w:szCs w:val="24"/>
            <w:lang w:val="en-US"/>
          </w:rPr>
          <m:t>MK</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2,i</m:t>
            </m:r>
          </m:sub>
        </m:sSub>
        <m:r>
          <m:rPr>
            <m:sty m:val="p"/>
          </m:rPr>
          <w:rPr>
            <w:rFonts w:ascii="Cambria Math" w:hAnsi="Cambria Math"/>
            <w:sz w:val="24"/>
            <w:szCs w:val="24"/>
            <w:lang w:val="en-US"/>
          </w:rPr>
          <m:t>Δ</m:t>
        </m:r>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3,i</m:t>
            </m:r>
          </m:sub>
        </m:sSub>
        <m:r>
          <m:rPr>
            <m:sty m:val="p"/>
          </m:rPr>
          <w:rPr>
            <w:rFonts w:ascii="Cambria Math" w:hAnsi="Cambria Math"/>
            <w:sz w:val="24"/>
            <w:szCs w:val="24"/>
            <w:lang w:val="en-US"/>
          </w:rPr>
          <m:t>Δ</m:t>
        </m:r>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m,t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υ</m:t>
            </m:r>
          </m:e>
          <m:sub>
            <m:r>
              <w:rPr>
                <w:rFonts w:ascii="Cambria Math" w:hAnsi="Cambria Math"/>
                <w:sz w:val="24"/>
                <w:szCs w:val="24"/>
                <w:lang w:val="en-US"/>
              </w:rPr>
              <m:t>i,t</m:t>
            </m:r>
          </m:sub>
        </m:sSub>
        <m:r>
          <w:rPr>
            <w:rFonts w:ascii="Cambria Math" w:hAnsi="Cambria Math"/>
            <w:sz w:val="24"/>
            <w:szCs w:val="24"/>
            <w:lang w:val="en-US"/>
          </w:rPr>
          <m:t xml:space="preserve"> </m:t>
        </m:r>
      </m:oMath>
      <w:r>
        <w:rPr>
          <w:rFonts w:eastAsiaTheme="minorEastAsia"/>
          <w:sz w:val="24"/>
          <w:szCs w:val="24"/>
          <w:lang w:val="en-US"/>
        </w:rPr>
        <w:t xml:space="preserve"> </w:t>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t xml:space="preserve">     [5]</w:t>
      </w:r>
    </w:p>
    <w:p w:rsidR="005623E8" w:rsidRDefault="005623E8" w:rsidP="00FE5537">
      <w:pPr>
        <w:spacing w:line="480" w:lineRule="auto"/>
        <w:jc w:val="both"/>
        <w:rPr>
          <w:rFonts w:eastAsiaTheme="minorEastAsia"/>
          <w:sz w:val="24"/>
          <w:szCs w:val="24"/>
          <w:lang w:val="en-US"/>
        </w:rPr>
      </w:pPr>
    </w:p>
    <w:p w:rsidR="00636F51" w:rsidRPr="00EB02C4" w:rsidRDefault="00636F51" w:rsidP="00FE5537">
      <w:pPr>
        <w:spacing w:line="480" w:lineRule="auto"/>
        <w:jc w:val="both"/>
        <w:rPr>
          <w:rFonts w:eastAsiaTheme="minorEastAsia"/>
          <w:sz w:val="24"/>
          <w:szCs w:val="24"/>
          <w:lang w:val="en-US"/>
        </w:rPr>
      </w:pPr>
      <w:proofErr w:type="gramStart"/>
      <w:r w:rsidRPr="00EB02C4">
        <w:rPr>
          <w:rFonts w:eastAsiaTheme="minorEastAsia"/>
          <w:sz w:val="24"/>
          <w:szCs w:val="24"/>
          <w:lang w:val="en-US"/>
        </w:rPr>
        <w:t>or</w:t>
      </w:r>
      <w:proofErr w:type="gramEnd"/>
      <w:r w:rsidRPr="00EB02C4">
        <w:rPr>
          <w:rFonts w:eastAsiaTheme="minorEastAsia"/>
          <w:sz w:val="24"/>
          <w:szCs w:val="24"/>
          <w:lang w:val="en-US"/>
        </w:rPr>
        <w:t xml:space="preserve"> alternatively,</w:t>
      </w:r>
    </w:p>
    <w:p w:rsidR="00636F51" w:rsidRPr="00EB02C4" w:rsidRDefault="005947A1" w:rsidP="00FE5537">
      <w:pPr>
        <w:spacing w:line="480" w:lineRule="auto"/>
        <w:jc w:val="both"/>
        <w:rPr>
          <w:sz w:val="24"/>
          <w:szCs w:val="24"/>
          <w:lang w:val="en-US"/>
        </w:rPr>
      </w:p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1,i,t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1,i,t-1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1,i</m:t>
            </m:r>
          </m:sub>
        </m:sSub>
        <m:r>
          <m:rPr>
            <m:sty m:val="p"/>
          </m:rPr>
          <w:rPr>
            <w:rFonts w:ascii="Cambria Math" w:hAnsi="Cambria Math"/>
            <w:sz w:val="24"/>
            <w:szCs w:val="24"/>
            <w:lang w:val="en-US"/>
          </w:rPr>
          <m:t>Δ</m:t>
        </m:r>
        <m:r>
          <w:rPr>
            <w:rFonts w:ascii="Cambria Math" w:hAnsi="Cambria Math"/>
            <w:sz w:val="24"/>
            <w:szCs w:val="24"/>
            <w:lang w:val="en-US"/>
          </w:rPr>
          <m:t>MK</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2,i</m:t>
            </m:r>
          </m:sub>
        </m:sSub>
        <m:r>
          <m:rPr>
            <m:sty m:val="p"/>
          </m:rPr>
          <w:rPr>
            <w:rFonts w:ascii="Cambria Math" w:hAnsi="Cambria Math"/>
            <w:sz w:val="24"/>
            <w:szCs w:val="24"/>
            <w:lang w:val="en-US"/>
          </w:rPr>
          <m:t>Δ</m:t>
        </m:r>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3,i</m:t>
            </m:r>
          </m:sub>
        </m:sSub>
        <m:r>
          <m:rPr>
            <m:sty m:val="p"/>
          </m:rPr>
          <w:rPr>
            <w:rFonts w:ascii="Cambria Math" w:hAnsi="Cambria Math"/>
            <w:sz w:val="24"/>
            <w:szCs w:val="24"/>
            <w:lang w:val="en-US"/>
          </w:rPr>
          <m:t>Δ</m:t>
        </m:r>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m,t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υ</m:t>
            </m:r>
          </m:e>
          <m:sub>
            <m:r>
              <w:rPr>
                <w:rFonts w:ascii="Cambria Math" w:hAnsi="Cambria Math"/>
                <w:sz w:val="24"/>
                <w:szCs w:val="24"/>
                <w:lang w:val="en-US"/>
              </w:rPr>
              <m:t>i,t</m:t>
            </m:r>
          </m:sub>
        </m:sSub>
      </m:oMath>
      <w:r w:rsidR="00636F51" w:rsidRPr="00EB02C4">
        <w:rPr>
          <w:rFonts w:eastAsiaTheme="minorEastAsia"/>
          <w:sz w:val="24"/>
          <w:szCs w:val="24"/>
          <w:lang w:val="en-US"/>
        </w:rPr>
        <w:t xml:space="preserve"> </w:t>
      </w:r>
      <w:r w:rsidR="00636F51" w:rsidRPr="00EB02C4">
        <w:rPr>
          <w:rFonts w:eastAsiaTheme="minorEastAsia"/>
          <w:sz w:val="24"/>
          <w:szCs w:val="24"/>
          <w:lang w:val="en-US"/>
        </w:rPr>
        <w:tab/>
      </w:r>
      <w:r w:rsidR="00636F51" w:rsidRPr="00EB02C4">
        <w:rPr>
          <w:rFonts w:eastAsiaTheme="minorEastAsia"/>
          <w:sz w:val="24"/>
          <w:szCs w:val="24"/>
          <w:lang w:val="en-US"/>
        </w:rPr>
        <w:tab/>
      </w:r>
      <w:r w:rsidR="00636F51" w:rsidRPr="00EB02C4">
        <w:rPr>
          <w:rFonts w:eastAsiaTheme="minorEastAsia"/>
          <w:sz w:val="24"/>
          <w:szCs w:val="24"/>
          <w:lang w:val="en-US"/>
        </w:rPr>
        <w:tab/>
      </w:r>
      <w:r w:rsidR="00636F51" w:rsidRPr="00EB02C4">
        <w:rPr>
          <w:rFonts w:eastAsiaTheme="minorEastAsia"/>
          <w:sz w:val="24"/>
          <w:szCs w:val="24"/>
          <w:lang w:val="en-US"/>
        </w:rPr>
        <w:tab/>
        <w:t xml:space="preserve">     [6]</w:t>
      </w:r>
    </w:p>
    <w:p w:rsidR="00FE5537" w:rsidRPr="00EB02C4" w:rsidRDefault="00FE5537" w:rsidP="00FE5537">
      <w:pPr>
        <w:spacing w:line="480" w:lineRule="auto"/>
        <w:jc w:val="both"/>
        <w:rPr>
          <w:sz w:val="24"/>
          <w:szCs w:val="24"/>
          <w:lang w:val="en-US"/>
        </w:rPr>
      </w:pPr>
    </w:p>
    <w:p w:rsidR="00363069" w:rsidRPr="00363069" w:rsidRDefault="00363069" w:rsidP="00FE5537">
      <w:pPr>
        <w:spacing w:line="480" w:lineRule="auto"/>
        <w:jc w:val="both"/>
        <w:rPr>
          <w:sz w:val="24"/>
          <w:szCs w:val="24"/>
          <w:lang w:val="en-US"/>
        </w:rPr>
      </w:pPr>
      <w:r w:rsidRPr="00363069">
        <w:rPr>
          <w:sz w:val="24"/>
          <w:szCs w:val="24"/>
          <w:lang w:val="en-US"/>
        </w:rPr>
        <w:t xml:space="preserve">If market excess returns, market volatility and aggregate liquidity do not vary, we </w:t>
      </w:r>
      <w:r>
        <w:rPr>
          <w:sz w:val="24"/>
          <w:szCs w:val="24"/>
          <w:lang w:val="en-US"/>
        </w:rPr>
        <w:t>do</w:t>
      </w:r>
      <w:r w:rsidRPr="00363069">
        <w:rPr>
          <w:sz w:val="24"/>
          <w:szCs w:val="24"/>
          <w:lang w:val="en-US"/>
        </w:rPr>
        <w:t xml:space="preserve"> not expect a mutual fund manager </w:t>
      </w:r>
      <w:r>
        <w:rPr>
          <w:sz w:val="24"/>
          <w:szCs w:val="24"/>
          <w:lang w:val="en-US"/>
        </w:rPr>
        <w:t xml:space="preserve">to change its exposure to the market. It may nevertheless change for reasons which are not linked to the market timing skills of the manager. This is taken into account by the error </w:t>
      </w:r>
      <w:proofErr w:type="gramStart"/>
      <w:r>
        <w:rPr>
          <w:sz w:val="24"/>
          <w:szCs w:val="24"/>
          <w:lang w:val="en-US"/>
        </w:rPr>
        <w:t xml:space="preserve">term </w:t>
      </w:r>
      <m:oMath>
        <w:proofErr w:type="gramEnd"/>
        <m:sSub>
          <m:sSubPr>
            <m:ctrlPr>
              <w:rPr>
                <w:rFonts w:ascii="Cambria Math" w:hAnsi="Cambria Math"/>
                <w:i/>
                <w:sz w:val="24"/>
                <w:szCs w:val="24"/>
                <w:lang w:val="en-US"/>
              </w:rPr>
            </m:ctrlPr>
          </m:sSubPr>
          <m:e>
            <m:r>
              <w:rPr>
                <w:rFonts w:ascii="Cambria Math" w:hAnsi="Cambria Math"/>
                <w:sz w:val="24"/>
                <w:szCs w:val="24"/>
                <w:lang w:val="en-US"/>
              </w:rPr>
              <m:t>υ</m:t>
            </m:r>
          </m:e>
          <m:sub>
            <m:r>
              <w:rPr>
                <w:rFonts w:ascii="Cambria Math" w:hAnsi="Cambria Math"/>
                <w:sz w:val="24"/>
                <w:szCs w:val="24"/>
                <w:lang w:val="en-US"/>
              </w:rPr>
              <m:t>i,t</m:t>
            </m:r>
          </m:sub>
        </m:sSub>
      </m:oMath>
      <w:r>
        <w:rPr>
          <w:rFonts w:eastAsiaTheme="minorEastAsia"/>
          <w:sz w:val="24"/>
          <w:szCs w:val="24"/>
          <w:lang w:val="en-US"/>
        </w:rPr>
        <w:t>.</w:t>
      </w:r>
    </w:p>
    <w:p w:rsidR="00363069" w:rsidRDefault="001B1EE9" w:rsidP="00FE5537">
      <w:pPr>
        <w:spacing w:line="480" w:lineRule="auto"/>
        <w:jc w:val="both"/>
        <w:rPr>
          <w:rFonts w:eastAsiaTheme="minorEastAsia"/>
          <w:sz w:val="24"/>
          <w:szCs w:val="24"/>
          <w:lang w:val="en-US"/>
        </w:rPr>
      </w:pPr>
      <w:r w:rsidRPr="001B1EE9">
        <w:rPr>
          <w:sz w:val="24"/>
          <w:szCs w:val="24"/>
          <w:lang w:val="en-US"/>
        </w:rPr>
        <w:t xml:space="preserve">We estimate the state space representation composed of </w:t>
      </w:r>
      <w:r w:rsidR="0077583B">
        <w:rPr>
          <w:sz w:val="24"/>
          <w:szCs w:val="24"/>
          <w:lang w:val="en-US"/>
        </w:rPr>
        <w:t>the measurement e</w:t>
      </w:r>
      <w:r w:rsidRPr="001B1EE9">
        <w:rPr>
          <w:sz w:val="24"/>
          <w:szCs w:val="24"/>
          <w:lang w:val="en-US"/>
        </w:rPr>
        <w:t xml:space="preserve">quations </w:t>
      </w:r>
      <w:r w:rsidR="0077583B">
        <w:rPr>
          <w:sz w:val="24"/>
          <w:szCs w:val="24"/>
          <w:lang w:val="en-US"/>
        </w:rPr>
        <w:t xml:space="preserve">(Equation </w:t>
      </w:r>
      <w:r w:rsidRPr="001B1EE9">
        <w:rPr>
          <w:sz w:val="24"/>
          <w:szCs w:val="24"/>
          <w:lang w:val="en-US"/>
        </w:rPr>
        <w:t>4</w:t>
      </w:r>
      <w:r w:rsidR="0077583B">
        <w:rPr>
          <w:sz w:val="24"/>
          <w:szCs w:val="24"/>
          <w:lang w:val="en-US"/>
        </w:rPr>
        <w:t>)</w:t>
      </w:r>
      <w:r w:rsidRPr="001B1EE9">
        <w:rPr>
          <w:sz w:val="24"/>
          <w:szCs w:val="24"/>
          <w:lang w:val="en-US"/>
        </w:rPr>
        <w:t xml:space="preserve"> and</w:t>
      </w:r>
      <w:r w:rsidR="0077583B">
        <w:rPr>
          <w:sz w:val="24"/>
          <w:szCs w:val="24"/>
          <w:lang w:val="en-US"/>
        </w:rPr>
        <w:t xml:space="preserve"> the state equation</w:t>
      </w:r>
      <w:r w:rsidRPr="001B1EE9">
        <w:rPr>
          <w:sz w:val="24"/>
          <w:szCs w:val="24"/>
          <w:lang w:val="en-US"/>
        </w:rPr>
        <w:t xml:space="preserve"> </w:t>
      </w:r>
      <w:r w:rsidR="0077583B">
        <w:rPr>
          <w:sz w:val="24"/>
          <w:szCs w:val="24"/>
          <w:lang w:val="en-US"/>
        </w:rPr>
        <w:t xml:space="preserve">(Equation </w:t>
      </w:r>
      <w:r w:rsidR="002E3A26">
        <w:rPr>
          <w:sz w:val="24"/>
          <w:szCs w:val="24"/>
          <w:lang w:val="en-US"/>
        </w:rPr>
        <w:t>6</w:t>
      </w:r>
      <w:r w:rsidR="0077583B">
        <w:rPr>
          <w:sz w:val="24"/>
          <w:szCs w:val="24"/>
          <w:lang w:val="en-US"/>
        </w:rPr>
        <w:t>)</w:t>
      </w:r>
      <w:r w:rsidRPr="001B1EE9">
        <w:rPr>
          <w:sz w:val="24"/>
          <w:szCs w:val="24"/>
          <w:lang w:val="en-US"/>
        </w:rPr>
        <w:t xml:space="preserve"> using a </w:t>
      </w:r>
      <w:proofErr w:type="spellStart"/>
      <w:r w:rsidRPr="001B1EE9">
        <w:rPr>
          <w:sz w:val="24"/>
          <w:szCs w:val="24"/>
          <w:lang w:val="en-US"/>
        </w:rPr>
        <w:t>Kalman</w:t>
      </w:r>
      <w:proofErr w:type="spellEnd"/>
      <w:r w:rsidRPr="001B1EE9">
        <w:rPr>
          <w:sz w:val="24"/>
          <w:szCs w:val="24"/>
          <w:lang w:val="en-US"/>
        </w:rPr>
        <w:t xml:space="preserve"> filter with </w:t>
      </w:r>
      <m:oMath>
        <m:sSub>
          <m:sSubPr>
            <m:ctrlPr>
              <w:rPr>
                <w:rFonts w:ascii="Cambria Math" w:hAnsi="Cambria Math"/>
                <w:i/>
                <w:sz w:val="24"/>
                <w:szCs w:val="24"/>
                <w:lang w:val="en-US"/>
              </w:rPr>
            </m:ctrlPr>
          </m:sSubPr>
          <m:e>
            <m:r>
              <w:rPr>
                <w:rFonts w:ascii="Cambria Math" w:hAnsi="Cambria Math"/>
                <w:sz w:val="24"/>
                <w:szCs w:val="24"/>
                <w:lang w:val="en-US"/>
              </w:rPr>
              <m:t>ϵ</m:t>
            </m:r>
          </m:e>
          <m:sub>
            <m:r>
              <w:rPr>
                <w:rFonts w:ascii="Cambria Math" w:hAnsi="Cambria Math"/>
                <w:sz w:val="24"/>
                <w:szCs w:val="24"/>
                <w:lang w:val="en-US"/>
              </w:rPr>
              <m:t>i,t</m:t>
            </m:r>
          </m:sub>
        </m:sSub>
        <m:r>
          <w:rPr>
            <w:rFonts w:ascii="Cambria Math" w:hAnsi="Cambria Math"/>
            <w:sz w:val="24"/>
            <w:szCs w:val="24"/>
            <w:lang w:val="en-US"/>
          </w:rPr>
          <m:t xml:space="preserve"> ~N(0,</m:t>
        </m:r>
        <m:sSub>
          <m:sSubPr>
            <m:ctrlPr>
              <w:rPr>
                <w:rFonts w:ascii="Cambria Math" w:hAnsi="Cambria Math"/>
                <w:i/>
                <w:sz w:val="24"/>
                <w:szCs w:val="24"/>
                <w:lang w:val="en-US"/>
              </w:rPr>
            </m:ctrlPr>
          </m:sSubPr>
          <m:e>
            <m:r>
              <w:rPr>
                <w:rFonts w:ascii="Cambria Math" w:hAnsi="Cambria Math"/>
                <w:sz w:val="24"/>
                <w:szCs w:val="24"/>
                <w:lang w:val="en-US"/>
              </w:rPr>
              <m:t>σ</m:t>
            </m:r>
          </m:e>
          <m:sub>
            <m:sSub>
              <m:sSubPr>
                <m:ctrlPr>
                  <w:rPr>
                    <w:rFonts w:ascii="Cambria Math" w:hAnsi="Cambria Math"/>
                    <w:i/>
                    <w:sz w:val="24"/>
                    <w:szCs w:val="24"/>
                    <w:lang w:val="en-US"/>
                  </w:rPr>
                </m:ctrlPr>
              </m:sSubPr>
              <m:e>
                <m:r>
                  <w:rPr>
                    <w:rFonts w:ascii="Cambria Math" w:hAnsi="Cambria Math"/>
                    <w:sz w:val="24"/>
                    <w:szCs w:val="24"/>
                    <w:lang w:val="en-US"/>
                  </w:rPr>
                  <m:t>ϵ</m:t>
                </m:r>
              </m:e>
              <m:sub>
                <m:r>
                  <w:rPr>
                    <w:rFonts w:ascii="Cambria Math" w:hAnsi="Cambria Math"/>
                    <w:sz w:val="24"/>
                    <w:szCs w:val="24"/>
                    <w:lang w:val="en-US"/>
                  </w:rPr>
                  <m:t>i</m:t>
                </m:r>
              </m:sub>
            </m:sSub>
            <m:ctrlPr>
              <w:rPr>
                <w:rFonts w:ascii="Cambria Math" w:eastAsiaTheme="minorEastAsia" w:hAnsi="Cambria Math"/>
                <w:i/>
                <w:sz w:val="24"/>
                <w:szCs w:val="24"/>
                <w:lang w:val="en-US"/>
              </w:rPr>
            </m:ctrlPr>
          </m:sub>
        </m:sSub>
        <m:r>
          <w:rPr>
            <w:rFonts w:ascii="Cambria Math" w:eastAsiaTheme="minorEastAsia" w:hAnsi="Cambria Math"/>
            <w:sz w:val="24"/>
            <w:szCs w:val="24"/>
            <w:lang w:val="en-US"/>
          </w:rPr>
          <m:t>)</m:t>
        </m:r>
      </m:oMath>
      <w:r>
        <w:rPr>
          <w:rFonts w:eastAsiaTheme="minorEastAsia"/>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υ</m:t>
            </m:r>
          </m:e>
          <m:sub>
            <m:r>
              <w:rPr>
                <w:rFonts w:ascii="Cambria Math" w:hAnsi="Cambria Math"/>
                <w:sz w:val="24"/>
                <w:szCs w:val="24"/>
                <w:lang w:val="en-US"/>
              </w:rPr>
              <m:t>i,t</m:t>
            </m:r>
          </m:sub>
        </m:sSub>
        <m:r>
          <w:rPr>
            <w:rFonts w:ascii="Cambria Math" w:hAnsi="Cambria Math"/>
            <w:sz w:val="24"/>
            <w:szCs w:val="24"/>
            <w:lang w:val="en-US"/>
          </w:rPr>
          <m:t>~N(0,</m:t>
        </m:r>
        <m:sSub>
          <m:sSubPr>
            <m:ctrlPr>
              <w:rPr>
                <w:rFonts w:ascii="Cambria Math" w:hAnsi="Cambria Math"/>
                <w:i/>
                <w:sz w:val="24"/>
                <w:szCs w:val="24"/>
                <w:lang w:val="en-US"/>
              </w:rPr>
            </m:ctrlPr>
          </m:sSubPr>
          <m:e>
            <m:r>
              <w:rPr>
                <w:rFonts w:ascii="Cambria Math" w:hAnsi="Cambria Math"/>
                <w:sz w:val="24"/>
                <w:szCs w:val="24"/>
                <w:lang w:val="en-US"/>
              </w:rPr>
              <m:t>σ</m:t>
            </m:r>
          </m:e>
          <m:sub>
            <m:sSub>
              <m:sSubPr>
                <m:ctrlPr>
                  <w:rPr>
                    <w:rFonts w:ascii="Cambria Math" w:hAnsi="Cambria Math"/>
                    <w:i/>
                    <w:sz w:val="24"/>
                    <w:szCs w:val="24"/>
                    <w:lang w:val="en-US"/>
                  </w:rPr>
                </m:ctrlPr>
              </m:sSubPr>
              <m:e>
                <m:r>
                  <w:rPr>
                    <w:rFonts w:ascii="Cambria Math" w:hAnsi="Cambria Math"/>
                    <w:sz w:val="24"/>
                    <w:szCs w:val="24"/>
                    <w:lang w:val="en-US"/>
                  </w:rPr>
                  <m:t>υ</m:t>
                </m:r>
              </m:e>
              <m:sub>
                <m:r>
                  <w:rPr>
                    <w:rFonts w:ascii="Cambria Math" w:hAnsi="Cambria Math"/>
                    <w:sz w:val="24"/>
                    <w:szCs w:val="24"/>
                    <w:lang w:val="en-US"/>
                  </w:rPr>
                  <m:t>i</m:t>
                </m:r>
              </m:sub>
            </m:sSub>
            <m:ctrlPr>
              <w:rPr>
                <w:rFonts w:ascii="Cambria Math" w:eastAsiaTheme="minorEastAsia" w:hAnsi="Cambria Math"/>
                <w:i/>
                <w:sz w:val="24"/>
                <w:szCs w:val="24"/>
                <w:lang w:val="en-US"/>
              </w:rPr>
            </m:ctrlPr>
          </m:sub>
        </m:sSub>
        <m:r>
          <w:rPr>
            <w:rFonts w:ascii="Cambria Math" w:eastAsiaTheme="minorEastAsia" w:hAnsi="Cambria Math"/>
            <w:sz w:val="24"/>
            <w:szCs w:val="24"/>
            <w:lang w:val="en-US"/>
          </w:rPr>
          <m:t>)</m:t>
        </m:r>
      </m:oMath>
      <w:r w:rsidR="002E3A26">
        <w:rPr>
          <w:rFonts w:eastAsiaTheme="minorEastAsia"/>
          <w:sz w:val="24"/>
          <w:szCs w:val="24"/>
          <w:lang w:val="en-US"/>
        </w:rPr>
        <w:t xml:space="preserve"> . </w:t>
      </w:r>
    </w:p>
    <w:p w:rsidR="00F65A92" w:rsidRDefault="00F65A92" w:rsidP="00FE5537">
      <w:pPr>
        <w:spacing w:line="480" w:lineRule="auto"/>
        <w:jc w:val="both"/>
        <w:rPr>
          <w:rFonts w:eastAsiaTheme="minorEastAsia"/>
          <w:sz w:val="24"/>
          <w:szCs w:val="24"/>
          <w:lang w:val="en-US"/>
        </w:rPr>
      </w:pPr>
      <w:r>
        <w:rPr>
          <w:rFonts w:eastAsiaTheme="minorEastAsia"/>
          <w:sz w:val="24"/>
          <w:szCs w:val="24"/>
          <w:lang w:val="en-US"/>
        </w:rPr>
        <w:t xml:space="preserve">If mutual fund managers </w:t>
      </w:r>
      <w:r w:rsidR="004B5115">
        <w:rPr>
          <w:rFonts w:eastAsiaTheme="minorEastAsia"/>
          <w:sz w:val="24"/>
          <w:szCs w:val="24"/>
          <w:lang w:val="en-US"/>
        </w:rPr>
        <w:t xml:space="preserve">have market timing abilities from all three perspectives, we would expect to find </w:t>
      </w:r>
      <m:oMath>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1,i</m:t>
            </m:r>
          </m:sub>
        </m:sSub>
      </m:oMath>
      <w:r w:rsidR="004B5115">
        <w:rPr>
          <w:rFonts w:eastAsiaTheme="minorEastAsia"/>
          <w:sz w:val="24"/>
          <w:szCs w:val="24"/>
          <w:lang w:val="en-US"/>
        </w:rPr>
        <w:t xml:space="preserve"> </w:t>
      </w:r>
      <w:r w:rsidR="000B664A">
        <w:rPr>
          <w:rFonts w:eastAsiaTheme="minorEastAsia"/>
          <w:sz w:val="24"/>
          <w:szCs w:val="24"/>
          <w:lang w:val="en-US"/>
        </w:rPr>
        <w:t xml:space="preserve">and </w:t>
      </w:r>
      <m:oMath>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3,i</m:t>
            </m:r>
          </m:sub>
        </m:sSub>
      </m:oMath>
      <w:r w:rsidR="000B664A">
        <w:rPr>
          <w:rFonts w:eastAsiaTheme="minorEastAsia"/>
          <w:sz w:val="24"/>
          <w:szCs w:val="24"/>
          <w:lang w:val="en-US"/>
        </w:rPr>
        <w:t xml:space="preserve"> </w:t>
      </w:r>
      <w:r w:rsidR="004B5115">
        <w:rPr>
          <w:rFonts w:eastAsiaTheme="minorEastAsia"/>
          <w:sz w:val="24"/>
          <w:szCs w:val="24"/>
          <w:lang w:val="en-US"/>
        </w:rPr>
        <w:t>being significant and positive</w:t>
      </w:r>
      <w:r w:rsidR="000B664A">
        <w:rPr>
          <w:rFonts w:eastAsiaTheme="minorEastAsia"/>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2,i</m:t>
            </m:r>
          </m:sub>
        </m:sSub>
      </m:oMath>
      <w:r w:rsidR="000B664A">
        <w:rPr>
          <w:rFonts w:eastAsiaTheme="minorEastAsia"/>
          <w:sz w:val="24"/>
          <w:szCs w:val="24"/>
          <w:lang w:val="en-US"/>
        </w:rPr>
        <w:t xml:space="preserve"> being significant and negative. </w:t>
      </w:r>
    </w:p>
    <w:p w:rsidR="002E3A26" w:rsidRPr="001B1EE9" w:rsidRDefault="002E3A26" w:rsidP="00FE5537">
      <w:pPr>
        <w:spacing w:line="480" w:lineRule="auto"/>
        <w:jc w:val="both"/>
        <w:rPr>
          <w:sz w:val="24"/>
          <w:szCs w:val="24"/>
          <w:lang w:val="en-US"/>
        </w:rPr>
      </w:pPr>
      <w:r>
        <w:rPr>
          <w:rFonts w:eastAsiaTheme="minorEastAsia"/>
          <w:sz w:val="24"/>
          <w:szCs w:val="24"/>
          <w:lang w:val="en-US"/>
        </w:rPr>
        <w:t>We first apply this methodology to the equally weighted portfolio composed of all the mutual funds in our dataset and to equally weighted portfolios for the 4 investment categories. We then implement a fund-by-fund analysis in which we apply the same methodology to each fund taken individually. We report the results of our analysis in the coming sections.</w:t>
      </w:r>
    </w:p>
    <w:p w:rsidR="00605AFD" w:rsidRDefault="00605AFD" w:rsidP="00FE5537">
      <w:pPr>
        <w:spacing w:line="480" w:lineRule="auto"/>
        <w:jc w:val="both"/>
        <w:rPr>
          <w:sz w:val="24"/>
          <w:szCs w:val="24"/>
          <w:lang w:val="en-US"/>
        </w:rPr>
      </w:pPr>
    </w:p>
    <w:p w:rsidR="00EB02C4" w:rsidRDefault="00EB02C4" w:rsidP="00FE5537">
      <w:pPr>
        <w:spacing w:line="480" w:lineRule="auto"/>
        <w:jc w:val="both"/>
        <w:rPr>
          <w:b/>
          <w:sz w:val="28"/>
          <w:szCs w:val="28"/>
          <w:lang w:val="en-US"/>
        </w:rPr>
      </w:pPr>
      <w:r>
        <w:rPr>
          <w:b/>
          <w:sz w:val="28"/>
          <w:szCs w:val="28"/>
          <w:lang w:val="en-US"/>
        </w:rPr>
        <w:lastRenderedPageBreak/>
        <w:t>Results</w:t>
      </w:r>
    </w:p>
    <w:p w:rsidR="00EB02C4" w:rsidRPr="00EB02C4" w:rsidRDefault="00EB02C4" w:rsidP="00FE5537">
      <w:pPr>
        <w:spacing w:line="480" w:lineRule="auto"/>
        <w:jc w:val="both"/>
        <w:rPr>
          <w:i/>
          <w:sz w:val="28"/>
          <w:szCs w:val="28"/>
          <w:u w:val="single"/>
          <w:lang w:val="en-US"/>
        </w:rPr>
      </w:pPr>
      <w:r w:rsidRPr="00EB02C4">
        <w:rPr>
          <w:i/>
          <w:sz w:val="28"/>
          <w:szCs w:val="28"/>
          <w:u w:val="single"/>
          <w:lang w:val="en-US"/>
        </w:rPr>
        <w:t>Global analysis</w:t>
      </w:r>
    </w:p>
    <w:p w:rsidR="00EB02C4" w:rsidRDefault="002041F8" w:rsidP="00FE5537">
      <w:pPr>
        <w:spacing w:line="480" w:lineRule="auto"/>
        <w:jc w:val="both"/>
        <w:rPr>
          <w:sz w:val="24"/>
          <w:szCs w:val="24"/>
          <w:lang w:val="en-US"/>
        </w:rPr>
      </w:pPr>
      <w:r>
        <w:rPr>
          <w:sz w:val="24"/>
          <w:szCs w:val="24"/>
          <w:lang w:val="en-US"/>
        </w:rPr>
        <w:t xml:space="preserve">We first study mutual fund market timing ability using the entire dataset that we have at our disposal. We create an equally-weighted portfolio composed of all the mutual funds in the dataset including surviving and non-surviving funds. We estimate the system of equations formed by Equations 4 and 6 using a </w:t>
      </w:r>
      <w:proofErr w:type="spellStart"/>
      <w:r>
        <w:rPr>
          <w:sz w:val="24"/>
          <w:szCs w:val="24"/>
          <w:lang w:val="en-US"/>
        </w:rPr>
        <w:t>Kalman</w:t>
      </w:r>
      <w:proofErr w:type="spellEnd"/>
      <w:r>
        <w:rPr>
          <w:sz w:val="24"/>
          <w:szCs w:val="24"/>
          <w:lang w:val="en-US"/>
        </w:rPr>
        <w:t xml:space="preserve"> filter. </w:t>
      </w:r>
      <w:r w:rsidR="0027142F">
        <w:rPr>
          <w:sz w:val="24"/>
          <w:szCs w:val="24"/>
          <w:lang w:val="en-US"/>
        </w:rPr>
        <w:t xml:space="preserve">We also </w:t>
      </w:r>
      <w:r w:rsidR="00D3772D">
        <w:rPr>
          <w:sz w:val="24"/>
          <w:szCs w:val="24"/>
          <w:lang w:val="en-US"/>
        </w:rPr>
        <w:t>divide</w:t>
      </w:r>
      <w:r w:rsidR="0027142F">
        <w:rPr>
          <w:sz w:val="24"/>
          <w:szCs w:val="24"/>
          <w:lang w:val="en-US"/>
        </w:rPr>
        <w:t xml:space="preserve"> the dataset between surviving and non-surviving mutual funds and create two equally-weighted portfolio of respectively all the surviving and non-surviving funds. We estimate the system of equations for these two portfolios. This would enable us to determine whether there exist differences between the market timing ability of live and dead funds or in other words if the market timing skills of managers of surviving funds are significantly better than those of the managers of dead funds.  </w:t>
      </w:r>
      <w:r>
        <w:rPr>
          <w:sz w:val="24"/>
          <w:szCs w:val="24"/>
          <w:lang w:val="en-US"/>
        </w:rPr>
        <w:t xml:space="preserve">Results are reported in Table 3. </w:t>
      </w:r>
    </w:p>
    <w:p w:rsidR="00C802C6" w:rsidRDefault="009446D9" w:rsidP="00FE5537">
      <w:pPr>
        <w:spacing w:line="480" w:lineRule="auto"/>
        <w:jc w:val="both"/>
        <w:rPr>
          <w:sz w:val="24"/>
          <w:szCs w:val="24"/>
          <w:lang w:val="en-US"/>
        </w:rPr>
      </w:pPr>
      <w:r>
        <w:rPr>
          <w:sz w:val="24"/>
          <w:szCs w:val="24"/>
          <w:lang w:val="en-US"/>
        </w:rPr>
        <w:t>Results from the global regressions show that mutual fund managers do not seem to have significant return timing abilities. For the whole dataset as well as for the two subgroups (surviving and on-surviving funds), the coefficients on the change in market return in the state equations are negative and insignificant at the 5% level</w:t>
      </w:r>
      <w:r w:rsidR="000F01E6">
        <w:rPr>
          <w:sz w:val="24"/>
          <w:szCs w:val="24"/>
          <w:lang w:val="en-US"/>
        </w:rPr>
        <w:t xml:space="preserve">. </w:t>
      </w:r>
      <w:r w:rsidR="002552E5">
        <w:rPr>
          <w:sz w:val="24"/>
          <w:szCs w:val="24"/>
          <w:lang w:val="en-US"/>
        </w:rPr>
        <w:t xml:space="preserve">These results are consistent with those of among others </w:t>
      </w:r>
      <w:proofErr w:type="spellStart"/>
      <w:r w:rsidR="002552E5">
        <w:rPr>
          <w:sz w:val="24"/>
          <w:szCs w:val="24"/>
          <w:lang w:val="en-US"/>
        </w:rPr>
        <w:t>Treynor</w:t>
      </w:r>
      <w:proofErr w:type="spellEnd"/>
      <w:r w:rsidR="002552E5">
        <w:rPr>
          <w:sz w:val="24"/>
          <w:szCs w:val="24"/>
          <w:lang w:val="en-US"/>
        </w:rPr>
        <w:t xml:space="preserve"> and </w:t>
      </w:r>
      <w:proofErr w:type="spellStart"/>
      <w:r w:rsidR="002552E5">
        <w:rPr>
          <w:sz w:val="24"/>
          <w:szCs w:val="24"/>
          <w:lang w:val="en-US"/>
        </w:rPr>
        <w:t>Mazuy</w:t>
      </w:r>
      <w:proofErr w:type="spellEnd"/>
      <w:r w:rsidR="002552E5">
        <w:rPr>
          <w:sz w:val="24"/>
          <w:szCs w:val="24"/>
          <w:lang w:val="en-US"/>
        </w:rPr>
        <w:t xml:space="preserve"> (1966) and Chang and </w:t>
      </w:r>
      <w:proofErr w:type="spellStart"/>
      <w:r w:rsidR="002552E5">
        <w:rPr>
          <w:sz w:val="24"/>
          <w:szCs w:val="24"/>
          <w:lang w:val="en-US"/>
        </w:rPr>
        <w:t>Lewellen</w:t>
      </w:r>
      <w:proofErr w:type="spellEnd"/>
      <w:r w:rsidR="002552E5">
        <w:rPr>
          <w:sz w:val="24"/>
          <w:szCs w:val="24"/>
          <w:lang w:val="en-US"/>
        </w:rPr>
        <w:t xml:space="preserve"> (1984). From the volatility timing perspective, the global regression displays a significant volatility timing ability on the whole and even for both subgroups. Mutual fund managers would thus tend to reduce their exposure to the market when they forecast an increase in market-wide volatility. Lastly, the results show a significant liquidity-timing ability of mutual fund managers in general and for the subgroup of surviving funds while it is not </w:t>
      </w:r>
      <w:r w:rsidR="00505E8E">
        <w:rPr>
          <w:sz w:val="24"/>
          <w:szCs w:val="24"/>
          <w:lang w:val="en-US"/>
        </w:rPr>
        <w:t>significant</w:t>
      </w:r>
      <w:r w:rsidR="002552E5">
        <w:rPr>
          <w:sz w:val="24"/>
          <w:szCs w:val="24"/>
          <w:lang w:val="en-US"/>
        </w:rPr>
        <w:t xml:space="preserve"> for the group of dead funds. </w:t>
      </w:r>
      <w:r w:rsidR="00505E8E">
        <w:rPr>
          <w:sz w:val="24"/>
          <w:szCs w:val="24"/>
          <w:lang w:val="en-US"/>
        </w:rPr>
        <w:t xml:space="preserve">Managers of surviving mutual funds are more reactive to changes in </w:t>
      </w:r>
      <w:r w:rsidR="00505E8E">
        <w:rPr>
          <w:sz w:val="24"/>
          <w:szCs w:val="24"/>
          <w:lang w:val="en-US"/>
        </w:rPr>
        <w:lastRenderedPageBreak/>
        <w:t xml:space="preserve">aggregate liquidity than managers of dead funds. </w:t>
      </w:r>
      <w:r w:rsidR="002552E5">
        <w:rPr>
          <w:sz w:val="24"/>
          <w:szCs w:val="24"/>
          <w:lang w:val="en-US"/>
        </w:rPr>
        <w:t>We can also notice the significantly negative alpha of non-surviving funds whereas surviving funds do not seem to be able to deliver significantly positive abnormal returns to their investors on the whole.</w:t>
      </w:r>
    </w:p>
    <w:p w:rsidR="00505E8E" w:rsidRPr="00EB02C4" w:rsidRDefault="00505E8E" w:rsidP="00FE5537">
      <w:pPr>
        <w:spacing w:line="480" w:lineRule="auto"/>
        <w:jc w:val="both"/>
        <w:rPr>
          <w:sz w:val="24"/>
          <w:szCs w:val="24"/>
          <w:lang w:val="en-US"/>
        </w:rPr>
      </w:pPr>
    </w:p>
    <w:p w:rsidR="00FE5537" w:rsidRDefault="00C802C6" w:rsidP="00FE5537">
      <w:pPr>
        <w:spacing w:line="480" w:lineRule="auto"/>
        <w:jc w:val="both"/>
        <w:rPr>
          <w:sz w:val="24"/>
          <w:szCs w:val="24"/>
          <w:lang w:val="en-US"/>
        </w:rPr>
      </w:pPr>
      <w:r>
        <w:rPr>
          <w:sz w:val="24"/>
          <w:szCs w:val="24"/>
          <w:lang w:val="en-US"/>
        </w:rPr>
        <w:t>Table 3: Global regression results</w:t>
      </w:r>
    </w:p>
    <w:tbl>
      <w:tblPr>
        <w:tblW w:w="8520" w:type="dxa"/>
        <w:jc w:val="center"/>
        <w:tblInd w:w="55" w:type="dxa"/>
        <w:tblCellMar>
          <w:left w:w="70" w:type="dxa"/>
          <w:right w:w="70" w:type="dxa"/>
        </w:tblCellMar>
        <w:tblLook w:val="04A0"/>
      </w:tblPr>
      <w:tblGrid>
        <w:gridCol w:w="2440"/>
        <w:gridCol w:w="1970"/>
        <w:gridCol w:w="1275"/>
        <w:gridCol w:w="1276"/>
        <w:gridCol w:w="1559"/>
      </w:tblGrid>
      <w:tr w:rsidR="00C802C6" w:rsidRPr="00C802C6" w:rsidTr="0077583B">
        <w:trPr>
          <w:trHeight w:val="315"/>
          <w:jc w:val="center"/>
        </w:trPr>
        <w:tc>
          <w:tcPr>
            <w:tcW w:w="2440"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 </w:t>
            </w:r>
          </w:p>
        </w:tc>
        <w:tc>
          <w:tcPr>
            <w:tcW w:w="1970"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 </w:t>
            </w:r>
          </w:p>
        </w:tc>
        <w:tc>
          <w:tcPr>
            <w:tcW w:w="1275"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Total</w:t>
            </w:r>
          </w:p>
        </w:tc>
        <w:tc>
          <w:tcPr>
            <w:tcW w:w="1276"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proofErr w:type="spellStart"/>
            <w:r w:rsidRPr="00C802C6">
              <w:rPr>
                <w:rFonts w:ascii="Calibri" w:eastAsia="Times New Roman" w:hAnsi="Calibri" w:cs="Times New Roman"/>
                <w:color w:val="000000"/>
                <w:sz w:val="24"/>
                <w:szCs w:val="24"/>
                <w:lang w:val="fr-BE" w:eastAsia="fr-BE"/>
              </w:rPr>
              <w:t>Surviving</w:t>
            </w:r>
            <w:proofErr w:type="spellEnd"/>
          </w:p>
        </w:tc>
        <w:tc>
          <w:tcPr>
            <w:tcW w:w="1559"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Non-</w:t>
            </w:r>
            <w:proofErr w:type="spellStart"/>
            <w:r w:rsidRPr="00C802C6">
              <w:rPr>
                <w:rFonts w:ascii="Calibri" w:eastAsia="Times New Roman" w:hAnsi="Calibri" w:cs="Times New Roman"/>
                <w:color w:val="000000"/>
                <w:sz w:val="24"/>
                <w:szCs w:val="24"/>
                <w:lang w:val="fr-BE" w:eastAsia="fr-BE"/>
              </w:rPr>
              <w:t>surviving</w:t>
            </w:r>
            <w:proofErr w:type="spellEnd"/>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i/>
                <w:iCs/>
                <w:color w:val="000000"/>
                <w:sz w:val="24"/>
                <w:szCs w:val="24"/>
                <w:u w:val="single"/>
                <w:lang w:val="fr-BE" w:eastAsia="fr-BE"/>
              </w:rPr>
            </w:pPr>
            <w:proofErr w:type="spellStart"/>
            <w:r w:rsidRPr="00C802C6">
              <w:rPr>
                <w:rFonts w:ascii="Calibri" w:eastAsia="Times New Roman" w:hAnsi="Calibri" w:cs="Times New Roman"/>
                <w:i/>
                <w:iCs/>
                <w:color w:val="000000"/>
                <w:sz w:val="24"/>
                <w:szCs w:val="24"/>
                <w:u w:val="single"/>
                <w:lang w:val="fr-BE" w:eastAsia="fr-BE"/>
              </w:rPr>
              <w:t>Measurement</w:t>
            </w:r>
            <w:proofErr w:type="spellEnd"/>
            <w:r w:rsidRPr="00C802C6">
              <w:rPr>
                <w:rFonts w:ascii="Calibri" w:eastAsia="Times New Roman" w:hAnsi="Calibri" w:cs="Times New Roman"/>
                <w:i/>
                <w:iCs/>
                <w:color w:val="000000"/>
                <w:sz w:val="24"/>
                <w:szCs w:val="24"/>
                <w:u w:val="single"/>
                <w:lang w:val="fr-BE" w:eastAsia="fr-BE"/>
              </w:rPr>
              <w:t xml:space="preserve"> Equation</w:t>
            </w: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Default="00C802C6" w:rsidP="00C802C6">
            <w:pPr>
              <w:spacing w:after="0" w:line="240" w:lineRule="auto"/>
              <w:rPr>
                <w:rFonts w:ascii="Calibri" w:eastAsia="Times New Roman" w:hAnsi="Calibri" w:cs="Times New Roman"/>
                <w:color w:val="000000"/>
                <w:sz w:val="24"/>
                <w:szCs w:val="24"/>
                <w:lang w:val="fr-BE" w:eastAsia="fr-BE"/>
              </w:rPr>
            </w:pPr>
          </w:p>
          <w:p w:rsidR="00033215" w:rsidRPr="00C802C6" w:rsidRDefault="00033215"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Constant</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-0.0002</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0.0004</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-0.0012**</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(0.0003)</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(0.0003)</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(0.0003)</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MKT (final state)</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0.8669**</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0.8594**</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0.9134**</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(0.0338)</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(0.0314)</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(0.0394)</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HML</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0.0072</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0.0285**</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-0.0144</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(0.0076)</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(0.0075)</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(0.0087)</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SMB</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0.1196**</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0.1144**</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0.1287**</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(0.0057)</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(0.0057)</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(0.0065)</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MOM</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0.0113*</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0.0050</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0.0220**</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(0.0047)</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(0.0051)</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(0.0050)</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i/>
                <w:iCs/>
                <w:color w:val="000000"/>
                <w:sz w:val="24"/>
                <w:szCs w:val="24"/>
                <w:u w:val="single"/>
                <w:lang w:val="fr-BE" w:eastAsia="fr-BE"/>
              </w:rPr>
            </w:pPr>
            <w:r w:rsidRPr="00C802C6">
              <w:rPr>
                <w:rFonts w:ascii="Calibri" w:eastAsia="Times New Roman" w:hAnsi="Calibri" w:cs="Times New Roman"/>
                <w:i/>
                <w:iCs/>
                <w:color w:val="000000"/>
                <w:sz w:val="24"/>
                <w:szCs w:val="24"/>
                <w:u w:val="single"/>
                <w:lang w:val="fr-BE" w:eastAsia="fr-BE"/>
              </w:rPr>
              <w:t>State Equation</w:t>
            </w: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Default="00C802C6" w:rsidP="00C802C6">
            <w:pPr>
              <w:spacing w:after="0" w:line="240" w:lineRule="auto"/>
              <w:rPr>
                <w:rFonts w:ascii="Calibri" w:eastAsia="Times New Roman" w:hAnsi="Calibri" w:cs="Times New Roman"/>
                <w:color w:val="000000"/>
                <w:sz w:val="24"/>
                <w:szCs w:val="24"/>
                <w:lang w:val="fr-BE" w:eastAsia="fr-BE"/>
              </w:rPr>
            </w:pPr>
          </w:p>
          <w:p w:rsidR="00167213" w:rsidRPr="00C802C6" w:rsidRDefault="00167213"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Δ MKT</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-0.0457</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-0.0872</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-0.0399</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(0.0924)</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(0.0948)</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(0.0958)</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Δ V</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-14.7483**</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-17.8516**</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-11.1534*</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(3.8643)</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(3.6045)</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(4.7977)</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Δ L</w:t>
            </w: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0.2012*</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4"/>
                <w:szCs w:val="24"/>
                <w:lang w:val="fr-BE" w:eastAsia="fr-BE"/>
              </w:rPr>
            </w:pPr>
            <w:r w:rsidRPr="00C802C6">
              <w:rPr>
                <w:rFonts w:ascii="Calibri" w:eastAsia="Times New Roman" w:hAnsi="Calibri" w:cs="Times New Roman"/>
                <w:sz w:val="24"/>
                <w:szCs w:val="24"/>
                <w:lang w:val="fr-BE" w:eastAsia="fr-BE"/>
              </w:rPr>
              <w:t>0.2235**</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4"/>
                <w:szCs w:val="24"/>
                <w:lang w:val="fr-BE" w:eastAsia="fr-BE"/>
              </w:rPr>
            </w:pPr>
            <w:r w:rsidRPr="00C802C6">
              <w:rPr>
                <w:rFonts w:ascii="Calibri" w:eastAsia="Times New Roman" w:hAnsi="Calibri" w:cs="Times New Roman"/>
                <w:color w:val="000000"/>
                <w:sz w:val="24"/>
                <w:szCs w:val="24"/>
                <w:lang w:val="fr-BE" w:eastAsia="fr-BE"/>
              </w:rPr>
              <w:t>0.1455</w:t>
            </w:r>
          </w:p>
        </w:tc>
      </w:tr>
      <w:tr w:rsidR="00C802C6" w:rsidRPr="00C802C6" w:rsidTr="0077583B">
        <w:trPr>
          <w:trHeight w:val="315"/>
          <w:jc w:val="center"/>
        </w:trPr>
        <w:tc>
          <w:tcPr>
            <w:tcW w:w="244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970"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sz w:val="24"/>
                <w:szCs w:val="24"/>
                <w:lang w:val="fr-BE" w:eastAsia="fr-BE"/>
              </w:rPr>
            </w:pPr>
          </w:p>
        </w:tc>
        <w:tc>
          <w:tcPr>
            <w:tcW w:w="1275"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(0.0808)</w:t>
            </w:r>
          </w:p>
        </w:tc>
        <w:tc>
          <w:tcPr>
            <w:tcW w:w="1276"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sz w:val="20"/>
                <w:szCs w:val="20"/>
                <w:lang w:val="fr-BE" w:eastAsia="fr-BE"/>
              </w:rPr>
            </w:pPr>
            <w:r w:rsidRPr="00C802C6">
              <w:rPr>
                <w:rFonts w:ascii="Calibri" w:eastAsia="Times New Roman" w:hAnsi="Calibri" w:cs="Times New Roman"/>
                <w:sz w:val="20"/>
                <w:szCs w:val="20"/>
                <w:lang w:val="fr-BE" w:eastAsia="fr-BE"/>
              </w:rPr>
              <w:t>(0.0823)</w:t>
            </w:r>
          </w:p>
        </w:tc>
        <w:tc>
          <w:tcPr>
            <w:tcW w:w="1559" w:type="dxa"/>
            <w:tcBorders>
              <w:top w:val="nil"/>
              <w:left w:val="nil"/>
              <w:bottom w:val="nil"/>
              <w:right w:val="nil"/>
            </w:tcBorders>
            <w:shd w:val="clear" w:color="auto" w:fill="auto"/>
            <w:noWrap/>
            <w:vAlign w:val="bottom"/>
            <w:hideMark/>
          </w:tcPr>
          <w:p w:rsidR="00C802C6" w:rsidRPr="00C802C6" w:rsidRDefault="00C802C6" w:rsidP="00C802C6">
            <w:pPr>
              <w:spacing w:after="0" w:line="240" w:lineRule="auto"/>
              <w:jc w:val="center"/>
              <w:rPr>
                <w:rFonts w:ascii="Calibri" w:eastAsia="Times New Roman" w:hAnsi="Calibri" w:cs="Times New Roman"/>
                <w:color w:val="000000"/>
                <w:sz w:val="20"/>
                <w:szCs w:val="20"/>
                <w:lang w:val="fr-BE" w:eastAsia="fr-BE"/>
              </w:rPr>
            </w:pPr>
            <w:r w:rsidRPr="00C802C6">
              <w:rPr>
                <w:rFonts w:ascii="Calibri" w:eastAsia="Times New Roman" w:hAnsi="Calibri" w:cs="Times New Roman"/>
                <w:color w:val="000000"/>
                <w:sz w:val="20"/>
                <w:szCs w:val="20"/>
                <w:lang w:val="fr-BE" w:eastAsia="fr-BE"/>
              </w:rPr>
              <w:t>(0.0865)</w:t>
            </w:r>
          </w:p>
        </w:tc>
      </w:tr>
      <w:tr w:rsidR="00C802C6" w:rsidRPr="00C802C6" w:rsidTr="0077583B">
        <w:trPr>
          <w:trHeight w:val="300"/>
          <w:jc w:val="center"/>
        </w:trPr>
        <w:tc>
          <w:tcPr>
            <w:tcW w:w="2440"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lang w:val="fr-BE" w:eastAsia="fr-BE"/>
              </w:rPr>
            </w:pPr>
            <w:r w:rsidRPr="00C802C6">
              <w:rPr>
                <w:rFonts w:ascii="Calibri" w:eastAsia="Times New Roman" w:hAnsi="Calibri" w:cs="Times New Roman"/>
                <w:color w:val="000000"/>
                <w:lang w:val="fr-BE" w:eastAsia="fr-BE"/>
              </w:rPr>
              <w:t> </w:t>
            </w:r>
          </w:p>
        </w:tc>
        <w:tc>
          <w:tcPr>
            <w:tcW w:w="1970"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lang w:val="fr-BE" w:eastAsia="fr-BE"/>
              </w:rPr>
            </w:pPr>
            <w:r w:rsidRPr="00C802C6">
              <w:rPr>
                <w:rFonts w:ascii="Calibri" w:eastAsia="Times New Roman" w:hAnsi="Calibri" w:cs="Times New Roman"/>
                <w:color w:val="000000"/>
                <w:lang w:val="fr-BE" w:eastAsia="fr-BE"/>
              </w:rPr>
              <w:t> </w:t>
            </w:r>
          </w:p>
        </w:tc>
        <w:tc>
          <w:tcPr>
            <w:tcW w:w="1275"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lang w:val="fr-BE" w:eastAsia="fr-BE"/>
              </w:rPr>
            </w:pPr>
            <w:r w:rsidRPr="00C802C6">
              <w:rPr>
                <w:rFonts w:ascii="Calibri" w:eastAsia="Times New Roman" w:hAnsi="Calibri" w:cs="Times New Roman"/>
                <w:color w:val="000000"/>
                <w:lang w:val="fr-BE" w:eastAsia="fr-BE"/>
              </w:rPr>
              <w:t> </w:t>
            </w:r>
          </w:p>
        </w:tc>
        <w:tc>
          <w:tcPr>
            <w:tcW w:w="1276"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lang w:val="fr-BE" w:eastAsia="fr-BE"/>
              </w:rPr>
            </w:pPr>
            <w:r w:rsidRPr="00C802C6">
              <w:rPr>
                <w:rFonts w:ascii="Calibri" w:eastAsia="Times New Roman" w:hAnsi="Calibri" w:cs="Times New Roman"/>
                <w:color w:val="000000"/>
                <w:lang w:val="fr-BE" w:eastAsia="fr-BE"/>
              </w:rPr>
              <w:t> </w:t>
            </w:r>
          </w:p>
        </w:tc>
        <w:tc>
          <w:tcPr>
            <w:tcW w:w="1559" w:type="dxa"/>
            <w:tcBorders>
              <w:top w:val="nil"/>
              <w:left w:val="nil"/>
              <w:bottom w:val="single" w:sz="4" w:space="0" w:color="auto"/>
              <w:right w:val="nil"/>
            </w:tcBorders>
            <w:shd w:val="clear" w:color="auto" w:fill="auto"/>
            <w:noWrap/>
            <w:vAlign w:val="bottom"/>
            <w:hideMark/>
          </w:tcPr>
          <w:p w:rsidR="00C802C6" w:rsidRPr="00C802C6" w:rsidRDefault="00C802C6" w:rsidP="00C802C6">
            <w:pPr>
              <w:spacing w:after="0" w:line="240" w:lineRule="auto"/>
              <w:rPr>
                <w:rFonts w:ascii="Calibri" w:eastAsia="Times New Roman" w:hAnsi="Calibri" w:cs="Times New Roman"/>
                <w:color w:val="000000"/>
                <w:lang w:val="fr-BE" w:eastAsia="fr-BE"/>
              </w:rPr>
            </w:pPr>
            <w:r w:rsidRPr="00C802C6">
              <w:rPr>
                <w:rFonts w:ascii="Calibri" w:eastAsia="Times New Roman" w:hAnsi="Calibri" w:cs="Times New Roman"/>
                <w:color w:val="000000"/>
                <w:lang w:val="fr-BE" w:eastAsia="fr-BE"/>
              </w:rPr>
              <w:t> </w:t>
            </w:r>
          </w:p>
        </w:tc>
      </w:tr>
    </w:tbl>
    <w:p w:rsidR="00C802C6" w:rsidRPr="00C802C6" w:rsidRDefault="00C802C6" w:rsidP="00FE5537">
      <w:pPr>
        <w:spacing w:line="480" w:lineRule="auto"/>
        <w:jc w:val="both"/>
        <w:rPr>
          <w:lang w:val="en-US"/>
        </w:rPr>
      </w:pPr>
      <w:r>
        <w:rPr>
          <w:lang w:val="en-US"/>
        </w:rPr>
        <w:t xml:space="preserve">Note: Standard errors </w:t>
      </w:r>
      <w:r w:rsidR="00CB21AC">
        <w:rPr>
          <w:lang w:val="en-US"/>
        </w:rPr>
        <w:t>between parenthese</w:t>
      </w:r>
      <w:r>
        <w:rPr>
          <w:lang w:val="en-US"/>
        </w:rPr>
        <w:t xml:space="preserve">s. ** </w:t>
      </w:r>
      <w:proofErr w:type="gramStart"/>
      <w:r>
        <w:rPr>
          <w:lang w:val="en-US"/>
        </w:rPr>
        <w:t>and</w:t>
      </w:r>
      <w:proofErr w:type="gramEnd"/>
      <w:r>
        <w:rPr>
          <w:lang w:val="en-US"/>
        </w:rPr>
        <w:t xml:space="preserve"> * respectively denote significance at the 5% and 1% level.</w:t>
      </w:r>
    </w:p>
    <w:p w:rsidR="0019549D" w:rsidRDefault="0019549D" w:rsidP="00904F67">
      <w:pPr>
        <w:spacing w:line="480" w:lineRule="auto"/>
        <w:jc w:val="both"/>
        <w:rPr>
          <w:sz w:val="24"/>
          <w:szCs w:val="24"/>
          <w:lang w:val="en-US"/>
        </w:rPr>
      </w:pPr>
    </w:p>
    <w:p w:rsidR="00AB3381" w:rsidRDefault="00AB3381" w:rsidP="00904F67">
      <w:pPr>
        <w:spacing w:line="480" w:lineRule="auto"/>
        <w:jc w:val="both"/>
        <w:rPr>
          <w:sz w:val="24"/>
          <w:szCs w:val="24"/>
          <w:lang w:val="en-US"/>
        </w:rPr>
      </w:pPr>
    </w:p>
    <w:p w:rsidR="00AB3381" w:rsidRDefault="00AB3381" w:rsidP="00AB3381">
      <w:pPr>
        <w:spacing w:line="480" w:lineRule="auto"/>
        <w:jc w:val="both"/>
        <w:rPr>
          <w:i/>
          <w:sz w:val="28"/>
          <w:szCs w:val="28"/>
          <w:u w:val="single"/>
          <w:lang w:val="en-US"/>
        </w:rPr>
      </w:pPr>
      <w:r>
        <w:rPr>
          <w:i/>
          <w:sz w:val="28"/>
          <w:szCs w:val="28"/>
          <w:u w:val="single"/>
          <w:lang w:val="en-US"/>
        </w:rPr>
        <w:lastRenderedPageBreak/>
        <w:t>Analysis by investment categories</w:t>
      </w:r>
    </w:p>
    <w:p w:rsidR="008D1D3B" w:rsidRDefault="008D1D3B" w:rsidP="00AB3381">
      <w:pPr>
        <w:spacing w:line="480" w:lineRule="auto"/>
        <w:jc w:val="both"/>
        <w:rPr>
          <w:sz w:val="24"/>
          <w:szCs w:val="24"/>
          <w:lang w:val="en-US"/>
        </w:rPr>
      </w:pPr>
      <w:r>
        <w:rPr>
          <w:sz w:val="24"/>
          <w:szCs w:val="24"/>
          <w:lang w:val="en-US"/>
        </w:rPr>
        <w:t>We perform the same analysis as in the previous section for eac</w:t>
      </w:r>
      <w:r w:rsidR="00940BE6">
        <w:rPr>
          <w:sz w:val="24"/>
          <w:szCs w:val="24"/>
          <w:lang w:val="en-US"/>
        </w:rPr>
        <w:t>h of the investment categories Aggressive Growth, Long Term Growth, Growth and Income and I</w:t>
      </w:r>
      <w:r>
        <w:rPr>
          <w:sz w:val="24"/>
          <w:szCs w:val="24"/>
          <w:lang w:val="en-US"/>
        </w:rPr>
        <w:t xml:space="preserve">ncome. This allows us to refine our analysis and to capture potentially different market timing behavior of different investment strategies. Results are reported in Table 4. </w:t>
      </w:r>
    </w:p>
    <w:p w:rsidR="008D1D3B" w:rsidRPr="008D1D3B" w:rsidRDefault="008D1D3B" w:rsidP="00AB3381">
      <w:pPr>
        <w:spacing w:line="480" w:lineRule="auto"/>
        <w:jc w:val="both"/>
        <w:rPr>
          <w:sz w:val="24"/>
          <w:szCs w:val="24"/>
          <w:lang w:val="en-US"/>
        </w:rPr>
      </w:pPr>
    </w:p>
    <w:p w:rsidR="00AB3381" w:rsidRPr="00AB3381" w:rsidRDefault="00AB3381" w:rsidP="00AB3381">
      <w:pPr>
        <w:spacing w:line="480" w:lineRule="auto"/>
        <w:jc w:val="both"/>
        <w:rPr>
          <w:sz w:val="24"/>
          <w:szCs w:val="24"/>
          <w:lang w:val="en-US"/>
        </w:rPr>
      </w:pPr>
      <w:r>
        <w:rPr>
          <w:sz w:val="24"/>
          <w:szCs w:val="24"/>
          <w:lang w:val="en-US"/>
        </w:rPr>
        <w:t>Table 4: Regression results by investment categories</w:t>
      </w:r>
    </w:p>
    <w:tbl>
      <w:tblPr>
        <w:tblW w:w="9320" w:type="dxa"/>
        <w:tblInd w:w="55" w:type="dxa"/>
        <w:tblCellMar>
          <w:left w:w="70" w:type="dxa"/>
          <w:right w:w="70" w:type="dxa"/>
        </w:tblCellMar>
        <w:tblLook w:val="04A0"/>
      </w:tblPr>
      <w:tblGrid>
        <w:gridCol w:w="2440"/>
        <w:gridCol w:w="1860"/>
        <w:gridCol w:w="1200"/>
        <w:gridCol w:w="1319"/>
        <w:gridCol w:w="1301"/>
        <w:gridCol w:w="1200"/>
      </w:tblGrid>
      <w:tr w:rsidR="00AB3381" w:rsidRPr="00AB3381" w:rsidTr="00AB3381">
        <w:trPr>
          <w:trHeight w:val="315"/>
        </w:trPr>
        <w:tc>
          <w:tcPr>
            <w:tcW w:w="2440" w:type="dxa"/>
            <w:tcBorders>
              <w:top w:val="nil"/>
              <w:left w:val="nil"/>
              <w:bottom w:val="single" w:sz="4" w:space="0" w:color="auto"/>
              <w:right w:val="nil"/>
            </w:tcBorders>
            <w:shd w:val="clear" w:color="auto" w:fill="auto"/>
            <w:noWrap/>
            <w:vAlign w:val="bottom"/>
            <w:hideMark/>
          </w:tcPr>
          <w:p w:rsidR="00AB3381" w:rsidRPr="000B3A5A" w:rsidRDefault="00AB3381" w:rsidP="00AB3381">
            <w:pPr>
              <w:spacing w:after="0" w:line="240" w:lineRule="auto"/>
              <w:rPr>
                <w:rFonts w:ascii="Calibri" w:eastAsia="Times New Roman" w:hAnsi="Calibri" w:cs="Times New Roman"/>
                <w:color w:val="000000"/>
                <w:sz w:val="24"/>
                <w:szCs w:val="24"/>
                <w:lang w:val="en-US" w:eastAsia="fr-BE"/>
              </w:rPr>
            </w:pPr>
            <w:r w:rsidRPr="000B3A5A">
              <w:rPr>
                <w:rFonts w:ascii="Calibri" w:eastAsia="Times New Roman" w:hAnsi="Calibri" w:cs="Times New Roman"/>
                <w:color w:val="000000"/>
                <w:sz w:val="24"/>
                <w:szCs w:val="24"/>
                <w:lang w:val="en-US" w:eastAsia="fr-BE"/>
              </w:rPr>
              <w:t> </w:t>
            </w:r>
          </w:p>
        </w:tc>
        <w:tc>
          <w:tcPr>
            <w:tcW w:w="1860" w:type="dxa"/>
            <w:tcBorders>
              <w:top w:val="nil"/>
              <w:left w:val="nil"/>
              <w:bottom w:val="single" w:sz="4" w:space="0" w:color="auto"/>
              <w:right w:val="nil"/>
            </w:tcBorders>
            <w:shd w:val="clear" w:color="auto" w:fill="auto"/>
            <w:noWrap/>
            <w:vAlign w:val="bottom"/>
            <w:hideMark/>
          </w:tcPr>
          <w:p w:rsidR="00AB3381" w:rsidRPr="000B3A5A" w:rsidRDefault="00AB3381" w:rsidP="00AB3381">
            <w:pPr>
              <w:spacing w:after="0" w:line="240" w:lineRule="auto"/>
              <w:rPr>
                <w:rFonts w:ascii="Calibri" w:eastAsia="Times New Roman" w:hAnsi="Calibri" w:cs="Times New Roman"/>
                <w:color w:val="000000"/>
                <w:sz w:val="24"/>
                <w:szCs w:val="24"/>
                <w:lang w:val="en-US" w:eastAsia="fr-BE"/>
              </w:rPr>
            </w:pPr>
            <w:r w:rsidRPr="000B3A5A">
              <w:rPr>
                <w:rFonts w:ascii="Calibri" w:eastAsia="Times New Roman" w:hAnsi="Calibri" w:cs="Times New Roman"/>
                <w:color w:val="000000"/>
                <w:sz w:val="24"/>
                <w:szCs w:val="24"/>
                <w:lang w:val="en-US" w:eastAsia="fr-BE"/>
              </w:rPr>
              <w:t> </w:t>
            </w:r>
          </w:p>
        </w:tc>
        <w:tc>
          <w:tcPr>
            <w:tcW w:w="1200"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AGG</w:t>
            </w:r>
          </w:p>
        </w:tc>
        <w:tc>
          <w:tcPr>
            <w:tcW w:w="1319"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LTG</w:t>
            </w:r>
          </w:p>
        </w:tc>
        <w:tc>
          <w:tcPr>
            <w:tcW w:w="1301"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GI</w:t>
            </w:r>
          </w:p>
        </w:tc>
        <w:tc>
          <w:tcPr>
            <w:tcW w:w="1200"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I</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0B3A5A" w:rsidRDefault="00AB3381" w:rsidP="00AB3381">
            <w:pPr>
              <w:spacing w:after="0" w:line="240" w:lineRule="auto"/>
              <w:rPr>
                <w:rFonts w:ascii="Calibri" w:eastAsia="Times New Roman" w:hAnsi="Calibri" w:cs="Times New Roman"/>
                <w:i/>
                <w:iCs/>
                <w:color w:val="000000"/>
                <w:sz w:val="24"/>
                <w:szCs w:val="24"/>
                <w:u w:val="single"/>
                <w:lang w:val="fr-BE" w:eastAsia="fr-BE"/>
              </w:rPr>
            </w:pPr>
            <w:proofErr w:type="spellStart"/>
            <w:r w:rsidRPr="000B3A5A">
              <w:rPr>
                <w:rFonts w:ascii="Calibri" w:eastAsia="Times New Roman" w:hAnsi="Calibri" w:cs="Times New Roman"/>
                <w:i/>
                <w:iCs/>
                <w:color w:val="000000"/>
                <w:sz w:val="24"/>
                <w:szCs w:val="24"/>
                <w:u w:val="single"/>
                <w:lang w:val="fr-BE" w:eastAsia="fr-BE"/>
              </w:rPr>
              <w:t>Measurement</w:t>
            </w:r>
            <w:proofErr w:type="spellEnd"/>
            <w:r w:rsidRPr="000B3A5A">
              <w:rPr>
                <w:rFonts w:ascii="Calibri" w:eastAsia="Times New Roman" w:hAnsi="Calibri" w:cs="Times New Roman"/>
                <w:i/>
                <w:iCs/>
                <w:color w:val="000000"/>
                <w:sz w:val="24"/>
                <w:szCs w:val="24"/>
                <w:u w:val="single"/>
                <w:lang w:val="fr-BE" w:eastAsia="fr-BE"/>
              </w:rPr>
              <w:t xml:space="preserve"> Equation</w:t>
            </w: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i/>
                <w:iCs/>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Constant</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0.0001</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-0.0002</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-0.0003</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0.0002</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(0.0005)</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(0.0003)</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(0.0003)</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(0.0004)</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MKT (final state)</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0.9953**</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1.0073**</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0.9065**</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0.3886**</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(0.0587)</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(0.0400)</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(0.0336)</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(0.0480)</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HML</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-0.0874**</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-0.0726**</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0.0917**</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0.1414**</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(0.0125)</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(0.0099)</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(0.0079)</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(0.0169)</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SMB</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0.4373**</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0.1275**</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-0.0372**</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0.0077</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(0.0101)</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(0.0071)</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(0.0053)</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(0.0162)</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MOM</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0.0664**</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0.0249**</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-0.0262**</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r w:rsidRPr="00AB3381">
              <w:rPr>
                <w:rFonts w:ascii="Calibri" w:eastAsia="Times New Roman" w:hAnsi="Calibri" w:cs="Times New Roman"/>
                <w:color w:val="000000"/>
                <w:sz w:val="24"/>
                <w:szCs w:val="24"/>
                <w:lang w:val="fr-BE" w:eastAsia="fr-BE"/>
              </w:rPr>
              <w:t>-0.0301**</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(0.0082)</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(0.0060)</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(0.0051)</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r w:rsidRPr="00AB3381">
              <w:rPr>
                <w:rFonts w:ascii="Calibri" w:eastAsia="Times New Roman" w:hAnsi="Calibri" w:cs="Times New Roman"/>
                <w:color w:val="000000"/>
                <w:sz w:val="20"/>
                <w:szCs w:val="20"/>
                <w:lang w:val="fr-BE" w:eastAsia="fr-BE"/>
              </w:rPr>
              <w:t>(0.0112)</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0"/>
                <w:szCs w:val="20"/>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0B3A5A" w:rsidRDefault="00AB3381" w:rsidP="00AB3381">
            <w:pPr>
              <w:spacing w:after="0" w:line="240" w:lineRule="auto"/>
              <w:rPr>
                <w:rFonts w:ascii="Calibri" w:eastAsia="Times New Roman" w:hAnsi="Calibri" w:cs="Times New Roman"/>
                <w:i/>
                <w:iCs/>
                <w:color w:val="000000"/>
                <w:sz w:val="24"/>
                <w:szCs w:val="24"/>
                <w:u w:val="single"/>
                <w:lang w:val="fr-BE" w:eastAsia="fr-BE"/>
              </w:rPr>
            </w:pPr>
            <w:r w:rsidRPr="000B3A5A">
              <w:rPr>
                <w:rFonts w:ascii="Calibri" w:eastAsia="Times New Roman" w:hAnsi="Calibri" w:cs="Times New Roman"/>
                <w:i/>
                <w:iCs/>
                <w:color w:val="000000"/>
                <w:sz w:val="24"/>
                <w:szCs w:val="24"/>
                <w:u w:val="single"/>
                <w:lang w:val="fr-BE" w:eastAsia="fr-BE"/>
              </w:rPr>
              <w:t>State Equation</w:t>
            </w: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i/>
                <w:iCs/>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Δ MKT</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-0.2036</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0.0807</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0.0025</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-0.2002</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(0.1686)</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(0.1132)</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(0.0909)</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(0.1739)</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Δ V</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-14.2043*</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-16.9527**</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-14.3227**</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-11.1387</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(7.0688)</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(4.7916)</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(4.1494)</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(8.4057)</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Δ L</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0.2026</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0.2593**</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0.1365</w:t>
            </w:r>
          </w:p>
        </w:tc>
        <w:tc>
          <w:tcPr>
            <w:tcW w:w="1200" w:type="dxa"/>
            <w:tcBorders>
              <w:top w:val="nil"/>
              <w:left w:val="nil"/>
              <w:bottom w:val="nil"/>
              <w:right w:val="nil"/>
            </w:tcBorders>
            <w:shd w:val="clear" w:color="auto" w:fill="auto"/>
            <w:noWrap/>
            <w:vAlign w:val="bottom"/>
            <w:hideMark/>
          </w:tcPr>
          <w:p w:rsidR="00AB3381" w:rsidRPr="00AB3381" w:rsidRDefault="00AB3381" w:rsidP="000B3A5A">
            <w:pPr>
              <w:spacing w:after="0" w:line="240" w:lineRule="auto"/>
              <w:jc w:val="center"/>
              <w:rPr>
                <w:rFonts w:ascii="Calibri" w:eastAsia="Times New Roman" w:hAnsi="Calibri" w:cs="Times New Roman"/>
                <w:sz w:val="24"/>
                <w:szCs w:val="24"/>
                <w:lang w:val="fr-BE" w:eastAsia="fr-BE"/>
              </w:rPr>
            </w:pPr>
            <w:r w:rsidRPr="00AB3381">
              <w:rPr>
                <w:rFonts w:ascii="Calibri" w:eastAsia="Times New Roman" w:hAnsi="Calibri" w:cs="Times New Roman"/>
                <w:sz w:val="24"/>
                <w:szCs w:val="24"/>
                <w:lang w:val="fr-BE" w:eastAsia="fr-BE"/>
              </w:rPr>
              <w:t>0.1763</w:t>
            </w:r>
          </w:p>
        </w:tc>
      </w:tr>
      <w:tr w:rsidR="00AB3381" w:rsidRPr="00AB3381" w:rsidTr="00AB3381">
        <w:trPr>
          <w:trHeight w:val="315"/>
        </w:trPr>
        <w:tc>
          <w:tcPr>
            <w:tcW w:w="244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86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sz w:val="24"/>
                <w:szCs w:val="24"/>
                <w:lang w:val="fr-BE" w:eastAsia="fr-BE"/>
              </w:rPr>
            </w:pP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(0.1349)</w:t>
            </w:r>
          </w:p>
        </w:tc>
        <w:tc>
          <w:tcPr>
            <w:tcW w:w="1319"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(0.0949)</w:t>
            </w:r>
          </w:p>
        </w:tc>
        <w:tc>
          <w:tcPr>
            <w:tcW w:w="1301"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(0.0719)</w:t>
            </w:r>
          </w:p>
        </w:tc>
        <w:tc>
          <w:tcPr>
            <w:tcW w:w="1200" w:type="dxa"/>
            <w:tcBorders>
              <w:top w:val="nil"/>
              <w:left w:val="nil"/>
              <w:bottom w:val="nil"/>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sz w:val="20"/>
                <w:szCs w:val="20"/>
                <w:lang w:val="fr-BE" w:eastAsia="fr-BE"/>
              </w:rPr>
            </w:pPr>
            <w:r w:rsidRPr="00AB3381">
              <w:rPr>
                <w:rFonts w:ascii="Calibri" w:eastAsia="Times New Roman" w:hAnsi="Calibri" w:cs="Times New Roman"/>
                <w:sz w:val="20"/>
                <w:szCs w:val="20"/>
                <w:lang w:val="fr-BE" w:eastAsia="fr-BE"/>
              </w:rPr>
              <w:t>(0.1443)</w:t>
            </w:r>
          </w:p>
        </w:tc>
      </w:tr>
      <w:tr w:rsidR="00AB3381" w:rsidRPr="00AB3381" w:rsidTr="00AB3381">
        <w:trPr>
          <w:trHeight w:val="300"/>
        </w:trPr>
        <w:tc>
          <w:tcPr>
            <w:tcW w:w="2440"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lang w:val="fr-BE" w:eastAsia="fr-BE"/>
              </w:rPr>
            </w:pPr>
            <w:r w:rsidRPr="00AB3381">
              <w:rPr>
                <w:rFonts w:ascii="Calibri" w:eastAsia="Times New Roman" w:hAnsi="Calibri" w:cs="Times New Roman"/>
                <w:color w:val="000000"/>
                <w:lang w:val="fr-BE" w:eastAsia="fr-BE"/>
              </w:rPr>
              <w:t> </w:t>
            </w:r>
          </w:p>
        </w:tc>
        <w:tc>
          <w:tcPr>
            <w:tcW w:w="1860"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rPr>
                <w:rFonts w:ascii="Calibri" w:eastAsia="Times New Roman" w:hAnsi="Calibri" w:cs="Times New Roman"/>
                <w:color w:val="000000"/>
                <w:lang w:val="fr-BE" w:eastAsia="fr-BE"/>
              </w:rPr>
            </w:pPr>
            <w:r w:rsidRPr="00AB3381">
              <w:rPr>
                <w:rFonts w:ascii="Calibri" w:eastAsia="Times New Roman" w:hAnsi="Calibri" w:cs="Times New Roman"/>
                <w:color w:val="000000"/>
                <w:lang w:val="fr-BE" w:eastAsia="fr-BE"/>
              </w:rPr>
              <w:t> </w:t>
            </w:r>
          </w:p>
        </w:tc>
        <w:tc>
          <w:tcPr>
            <w:tcW w:w="1200"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r w:rsidRPr="00AB3381">
              <w:rPr>
                <w:rFonts w:ascii="Calibri" w:eastAsia="Times New Roman" w:hAnsi="Calibri" w:cs="Times New Roman"/>
                <w:color w:val="000000"/>
                <w:lang w:val="fr-BE" w:eastAsia="fr-BE"/>
              </w:rPr>
              <w:t> </w:t>
            </w:r>
          </w:p>
        </w:tc>
        <w:tc>
          <w:tcPr>
            <w:tcW w:w="1319"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r w:rsidRPr="00AB3381">
              <w:rPr>
                <w:rFonts w:ascii="Calibri" w:eastAsia="Times New Roman" w:hAnsi="Calibri" w:cs="Times New Roman"/>
                <w:color w:val="000000"/>
                <w:lang w:val="fr-BE" w:eastAsia="fr-BE"/>
              </w:rPr>
              <w:t> </w:t>
            </w:r>
          </w:p>
        </w:tc>
        <w:tc>
          <w:tcPr>
            <w:tcW w:w="1301"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r w:rsidRPr="00AB3381">
              <w:rPr>
                <w:rFonts w:ascii="Calibri" w:eastAsia="Times New Roman" w:hAnsi="Calibri" w:cs="Times New Roman"/>
                <w:color w:val="000000"/>
                <w:lang w:val="fr-BE" w:eastAsia="fr-BE"/>
              </w:rPr>
              <w:t> </w:t>
            </w:r>
          </w:p>
        </w:tc>
        <w:tc>
          <w:tcPr>
            <w:tcW w:w="1200" w:type="dxa"/>
            <w:tcBorders>
              <w:top w:val="nil"/>
              <w:left w:val="nil"/>
              <w:bottom w:val="single" w:sz="4" w:space="0" w:color="auto"/>
              <w:right w:val="nil"/>
            </w:tcBorders>
            <w:shd w:val="clear" w:color="auto" w:fill="auto"/>
            <w:noWrap/>
            <w:vAlign w:val="bottom"/>
            <w:hideMark/>
          </w:tcPr>
          <w:p w:rsidR="00AB3381" w:rsidRPr="00AB3381" w:rsidRDefault="00AB3381" w:rsidP="00AB3381">
            <w:pPr>
              <w:spacing w:after="0" w:line="240" w:lineRule="auto"/>
              <w:jc w:val="center"/>
              <w:rPr>
                <w:rFonts w:ascii="Calibri" w:eastAsia="Times New Roman" w:hAnsi="Calibri" w:cs="Times New Roman"/>
                <w:color w:val="000000"/>
                <w:lang w:val="fr-BE" w:eastAsia="fr-BE"/>
              </w:rPr>
            </w:pPr>
            <w:r w:rsidRPr="00AB3381">
              <w:rPr>
                <w:rFonts w:ascii="Calibri" w:eastAsia="Times New Roman" w:hAnsi="Calibri" w:cs="Times New Roman"/>
                <w:color w:val="000000"/>
                <w:lang w:val="fr-BE" w:eastAsia="fr-BE"/>
              </w:rPr>
              <w:t> </w:t>
            </w:r>
          </w:p>
        </w:tc>
      </w:tr>
    </w:tbl>
    <w:p w:rsidR="008D1D3B" w:rsidRPr="00C802C6" w:rsidRDefault="008D1D3B" w:rsidP="008D1D3B">
      <w:pPr>
        <w:spacing w:line="480" w:lineRule="auto"/>
        <w:jc w:val="both"/>
        <w:rPr>
          <w:lang w:val="en-US"/>
        </w:rPr>
      </w:pPr>
      <w:r>
        <w:rPr>
          <w:lang w:val="en-US"/>
        </w:rPr>
        <w:t xml:space="preserve">Note: Standard errors between parentheses. ** </w:t>
      </w:r>
      <w:proofErr w:type="gramStart"/>
      <w:r>
        <w:rPr>
          <w:lang w:val="en-US"/>
        </w:rPr>
        <w:t>and</w:t>
      </w:r>
      <w:proofErr w:type="gramEnd"/>
      <w:r>
        <w:rPr>
          <w:lang w:val="en-US"/>
        </w:rPr>
        <w:t xml:space="preserve"> * respectively denote significance at the 5% and 1% level.</w:t>
      </w:r>
    </w:p>
    <w:p w:rsidR="00940BE6" w:rsidRDefault="000B3A5A" w:rsidP="00AB3381">
      <w:pPr>
        <w:spacing w:line="480" w:lineRule="auto"/>
        <w:jc w:val="both"/>
        <w:rPr>
          <w:sz w:val="24"/>
          <w:szCs w:val="24"/>
          <w:lang w:val="en-US"/>
        </w:rPr>
      </w:pPr>
      <w:r>
        <w:rPr>
          <w:sz w:val="24"/>
          <w:szCs w:val="24"/>
          <w:lang w:val="en-US"/>
        </w:rPr>
        <w:lastRenderedPageBreak/>
        <w:t>We</w:t>
      </w:r>
      <w:r w:rsidR="00940BE6">
        <w:rPr>
          <w:sz w:val="24"/>
          <w:szCs w:val="24"/>
          <w:lang w:val="en-US"/>
        </w:rPr>
        <w:t xml:space="preserve"> find </w:t>
      </w:r>
      <w:r>
        <w:rPr>
          <w:sz w:val="24"/>
          <w:szCs w:val="24"/>
          <w:lang w:val="en-US"/>
        </w:rPr>
        <w:t>evidence of a significant return timing ability for</w:t>
      </w:r>
      <w:r w:rsidR="00940BE6">
        <w:rPr>
          <w:sz w:val="24"/>
          <w:szCs w:val="24"/>
          <w:lang w:val="en-US"/>
        </w:rPr>
        <w:t xml:space="preserve"> none of the 4 investment categories. This confirms the results of the global regression. Results on volatility timing from the global regression are also confirmed by the regressions by investment strategies. We find a significant coefficient on the change of market-wide volatility in the state equation for all investment strategies except for the Income category.</w:t>
      </w:r>
      <w:r>
        <w:rPr>
          <w:sz w:val="24"/>
          <w:szCs w:val="24"/>
          <w:lang w:val="en-US"/>
        </w:rPr>
        <w:t xml:space="preserve"> </w:t>
      </w:r>
      <w:r w:rsidR="00E41480">
        <w:rPr>
          <w:sz w:val="24"/>
          <w:szCs w:val="24"/>
          <w:lang w:val="en-US"/>
        </w:rPr>
        <w:t xml:space="preserve">These results are in line with those of </w:t>
      </w:r>
      <w:proofErr w:type="spellStart"/>
      <w:r w:rsidR="00E41480">
        <w:rPr>
          <w:sz w:val="24"/>
          <w:szCs w:val="24"/>
          <w:lang w:val="en-US"/>
        </w:rPr>
        <w:t>Busse</w:t>
      </w:r>
      <w:proofErr w:type="spellEnd"/>
      <w:r w:rsidR="00E41480">
        <w:rPr>
          <w:sz w:val="24"/>
          <w:szCs w:val="24"/>
          <w:lang w:val="en-US"/>
        </w:rPr>
        <w:t xml:space="preserve"> (1999) who finds that mutual funds tend to adjust their exposure to the market in response to expected changes n market-wide volatility. </w:t>
      </w:r>
      <w:r w:rsidR="00940BE6">
        <w:rPr>
          <w:sz w:val="24"/>
          <w:szCs w:val="24"/>
          <w:lang w:val="en-US"/>
        </w:rPr>
        <w:t xml:space="preserve">From the liquidity timing perspective, only the Long Term Growth strategy displays a significant market timing ability at the 5% level (the coefficient of the Growth and Income strategy </w:t>
      </w:r>
      <w:r w:rsidR="00227CED">
        <w:rPr>
          <w:sz w:val="24"/>
          <w:szCs w:val="24"/>
          <w:lang w:val="en-US"/>
        </w:rPr>
        <w:t xml:space="preserve">has a p-value of 5.77%). </w:t>
      </w:r>
      <w:r w:rsidR="00286618">
        <w:rPr>
          <w:sz w:val="24"/>
          <w:szCs w:val="24"/>
          <w:lang w:val="en-US"/>
        </w:rPr>
        <w:t>These results are consistent with those of Cao et al. (</w:t>
      </w:r>
      <w:r w:rsidR="00A24EC6">
        <w:rPr>
          <w:sz w:val="24"/>
          <w:szCs w:val="24"/>
          <w:lang w:val="en-US"/>
        </w:rPr>
        <w:t>2011</w:t>
      </w:r>
      <w:r w:rsidR="00286618">
        <w:rPr>
          <w:sz w:val="24"/>
          <w:szCs w:val="24"/>
          <w:lang w:val="en-US"/>
        </w:rPr>
        <w:t xml:space="preserve">) who find a significant </w:t>
      </w:r>
      <w:r w:rsidR="00AC6876">
        <w:rPr>
          <w:sz w:val="24"/>
          <w:szCs w:val="24"/>
          <w:lang w:val="en-US"/>
        </w:rPr>
        <w:t>liquidity</w:t>
      </w:r>
      <w:r w:rsidR="00286618">
        <w:rPr>
          <w:sz w:val="24"/>
          <w:szCs w:val="24"/>
          <w:lang w:val="en-US"/>
        </w:rPr>
        <w:t xml:space="preserve"> timing ability for some (but not all) of the investment strategies.</w:t>
      </w:r>
    </w:p>
    <w:p w:rsidR="00AB3381" w:rsidRPr="00AB3381" w:rsidRDefault="00227CED" w:rsidP="00AB3381">
      <w:pPr>
        <w:spacing w:line="480" w:lineRule="auto"/>
        <w:jc w:val="both"/>
        <w:rPr>
          <w:sz w:val="24"/>
          <w:szCs w:val="24"/>
          <w:lang w:val="en-US"/>
        </w:rPr>
      </w:pPr>
      <w:r>
        <w:rPr>
          <w:sz w:val="24"/>
          <w:szCs w:val="24"/>
          <w:lang w:val="en-US"/>
        </w:rPr>
        <w:t>Overall, all but the Income strategy display at least on</w:t>
      </w:r>
      <w:r w:rsidR="00B665C6">
        <w:rPr>
          <w:sz w:val="24"/>
          <w:szCs w:val="24"/>
          <w:lang w:val="en-US"/>
        </w:rPr>
        <w:t>e kind of market timing ability while none of the fund strategies exhibit return timing skills.</w:t>
      </w:r>
      <w:r>
        <w:rPr>
          <w:sz w:val="24"/>
          <w:szCs w:val="24"/>
          <w:lang w:val="en-US"/>
        </w:rPr>
        <w:t xml:space="preserve"> </w:t>
      </w:r>
      <w:r w:rsidR="00940BE6">
        <w:rPr>
          <w:sz w:val="24"/>
          <w:szCs w:val="24"/>
          <w:lang w:val="en-US"/>
        </w:rPr>
        <w:t xml:space="preserve">The absence of significant </w:t>
      </w:r>
      <w:r>
        <w:rPr>
          <w:sz w:val="24"/>
          <w:szCs w:val="24"/>
          <w:lang w:val="en-US"/>
        </w:rPr>
        <w:t>market</w:t>
      </w:r>
      <w:r w:rsidR="00940BE6">
        <w:rPr>
          <w:sz w:val="24"/>
          <w:szCs w:val="24"/>
          <w:lang w:val="en-US"/>
        </w:rPr>
        <w:t xml:space="preserve"> timing</w:t>
      </w:r>
      <w:r>
        <w:rPr>
          <w:sz w:val="24"/>
          <w:szCs w:val="24"/>
          <w:lang w:val="en-US"/>
        </w:rPr>
        <w:t xml:space="preserve"> ability</w:t>
      </w:r>
      <w:r w:rsidR="00940BE6">
        <w:rPr>
          <w:sz w:val="24"/>
          <w:szCs w:val="24"/>
          <w:lang w:val="en-US"/>
        </w:rPr>
        <w:t xml:space="preserve"> for the Income strategy is coupled with a lower exposure to the market than for the other three investment strategies. </w:t>
      </w:r>
      <w:r w:rsidR="000D7243">
        <w:rPr>
          <w:sz w:val="24"/>
          <w:szCs w:val="24"/>
          <w:lang w:val="en-US"/>
        </w:rPr>
        <w:t>The lowest impact on their performance of the excess return of the market may partly explain the fact that they do not use market timing ability as much as the other investment strategies for which the exposure to the market is significantly higher.</w:t>
      </w:r>
      <w:r w:rsidR="0087044B">
        <w:rPr>
          <w:sz w:val="24"/>
          <w:szCs w:val="24"/>
          <w:lang w:val="en-US"/>
        </w:rPr>
        <w:t xml:space="preserve"> </w:t>
      </w:r>
    </w:p>
    <w:p w:rsidR="00AB3381" w:rsidRDefault="00AB3381" w:rsidP="00904F67">
      <w:pPr>
        <w:spacing w:line="480" w:lineRule="auto"/>
        <w:jc w:val="both"/>
        <w:rPr>
          <w:sz w:val="24"/>
          <w:szCs w:val="24"/>
          <w:lang w:val="en-US"/>
        </w:rPr>
      </w:pPr>
    </w:p>
    <w:p w:rsidR="000D7243" w:rsidRDefault="000D7243" w:rsidP="00904F67">
      <w:pPr>
        <w:spacing w:line="480" w:lineRule="auto"/>
        <w:jc w:val="both"/>
        <w:rPr>
          <w:sz w:val="24"/>
          <w:szCs w:val="24"/>
          <w:lang w:val="en-US"/>
        </w:rPr>
      </w:pPr>
    </w:p>
    <w:p w:rsidR="000D7243" w:rsidRDefault="000D7243" w:rsidP="00904F67">
      <w:pPr>
        <w:spacing w:line="480" w:lineRule="auto"/>
        <w:jc w:val="both"/>
        <w:rPr>
          <w:sz w:val="24"/>
          <w:szCs w:val="24"/>
          <w:lang w:val="en-US"/>
        </w:rPr>
      </w:pPr>
    </w:p>
    <w:p w:rsidR="000D7243" w:rsidRDefault="000D7243" w:rsidP="00904F67">
      <w:pPr>
        <w:spacing w:line="480" w:lineRule="auto"/>
        <w:jc w:val="both"/>
        <w:rPr>
          <w:sz w:val="24"/>
          <w:szCs w:val="24"/>
          <w:lang w:val="en-US"/>
        </w:rPr>
      </w:pPr>
    </w:p>
    <w:p w:rsidR="00227CED" w:rsidRDefault="00227CED" w:rsidP="00227CED">
      <w:pPr>
        <w:spacing w:line="480" w:lineRule="auto"/>
        <w:jc w:val="both"/>
        <w:rPr>
          <w:i/>
          <w:sz w:val="28"/>
          <w:szCs w:val="28"/>
          <w:u w:val="single"/>
          <w:lang w:val="en-US"/>
        </w:rPr>
      </w:pPr>
      <w:r>
        <w:rPr>
          <w:i/>
          <w:sz w:val="28"/>
          <w:szCs w:val="28"/>
          <w:u w:val="single"/>
          <w:lang w:val="en-US"/>
        </w:rPr>
        <w:lastRenderedPageBreak/>
        <w:t>Fund-by-fund analysis</w:t>
      </w:r>
    </w:p>
    <w:p w:rsidR="008C5048" w:rsidRDefault="00BE6099" w:rsidP="00227CED">
      <w:pPr>
        <w:spacing w:line="480" w:lineRule="auto"/>
        <w:jc w:val="both"/>
        <w:rPr>
          <w:sz w:val="24"/>
          <w:szCs w:val="24"/>
          <w:lang w:val="en-US"/>
        </w:rPr>
      </w:pPr>
      <w:r>
        <w:rPr>
          <w:sz w:val="24"/>
          <w:szCs w:val="24"/>
          <w:lang w:val="en-US"/>
        </w:rPr>
        <w:t xml:space="preserve">In this section, we repeat the estimation procedure for each fund in our dataset on </w:t>
      </w:r>
      <w:proofErr w:type="gramStart"/>
      <w:r>
        <w:rPr>
          <w:sz w:val="24"/>
          <w:szCs w:val="24"/>
          <w:lang w:val="en-US"/>
        </w:rPr>
        <w:t>an a</w:t>
      </w:r>
      <w:proofErr w:type="gramEnd"/>
      <w:r>
        <w:rPr>
          <w:sz w:val="24"/>
          <w:szCs w:val="24"/>
          <w:lang w:val="en-US"/>
        </w:rPr>
        <w:t xml:space="preserve"> individual basis. This allows us to determine which funds display significant market timing abilities as well as the percentage of mutual funds’ managers which actually possess </w:t>
      </w:r>
      <w:r w:rsidR="008B0FF0">
        <w:rPr>
          <w:sz w:val="24"/>
          <w:szCs w:val="24"/>
          <w:lang w:val="en-US"/>
        </w:rPr>
        <w:t>t</w:t>
      </w:r>
      <w:r>
        <w:rPr>
          <w:sz w:val="24"/>
          <w:szCs w:val="24"/>
          <w:lang w:val="en-US"/>
        </w:rPr>
        <w:t>hese market timing skills. We report the results of this analysis in Table 5 for the entire dataset as well as for live and dead funds and for the different investment categories.</w:t>
      </w:r>
    </w:p>
    <w:p w:rsidR="00BE6099" w:rsidRDefault="00BE6099" w:rsidP="00227CED">
      <w:pPr>
        <w:spacing w:line="480" w:lineRule="auto"/>
        <w:jc w:val="both"/>
        <w:rPr>
          <w:sz w:val="24"/>
          <w:szCs w:val="24"/>
          <w:lang w:val="en-US"/>
        </w:rPr>
      </w:pPr>
    </w:p>
    <w:p w:rsidR="00BE6099" w:rsidRPr="008C5048" w:rsidRDefault="00BE6099" w:rsidP="00227CED">
      <w:pPr>
        <w:spacing w:line="480" w:lineRule="auto"/>
        <w:jc w:val="both"/>
        <w:rPr>
          <w:sz w:val="24"/>
          <w:szCs w:val="24"/>
          <w:lang w:val="en-US"/>
        </w:rPr>
      </w:pPr>
      <w:r>
        <w:rPr>
          <w:sz w:val="24"/>
          <w:szCs w:val="24"/>
          <w:lang w:val="en-US"/>
        </w:rPr>
        <w:t>Table: Fund-by-fund regression results</w:t>
      </w:r>
    </w:p>
    <w:tbl>
      <w:tblPr>
        <w:tblW w:w="8680" w:type="dxa"/>
        <w:tblInd w:w="55" w:type="dxa"/>
        <w:tblCellMar>
          <w:left w:w="70" w:type="dxa"/>
          <w:right w:w="70" w:type="dxa"/>
        </w:tblCellMar>
        <w:tblLook w:val="04A0"/>
      </w:tblPr>
      <w:tblGrid>
        <w:gridCol w:w="2142"/>
        <w:gridCol w:w="2378"/>
        <w:gridCol w:w="2080"/>
        <w:gridCol w:w="2080"/>
      </w:tblGrid>
      <w:tr w:rsidR="00117506" w:rsidRPr="00BE2CF8" w:rsidTr="00117506">
        <w:trPr>
          <w:trHeight w:val="1320"/>
        </w:trPr>
        <w:tc>
          <w:tcPr>
            <w:tcW w:w="2142" w:type="dxa"/>
            <w:tcBorders>
              <w:top w:val="nil"/>
              <w:left w:val="nil"/>
              <w:bottom w:val="single" w:sz="4" w:space="0" w:color="auto"/>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en-US" w:eastAsia="fr-BE"/>
              </w:rPr>
            </w:pPr>
            <w:r w:rsidRPr="00117506">
              <w:rPr>
                <w:rFonts w:ascii="Calibri" w:eastAsia="Times New Roman" w:hAnsi="Calibri" w:cs="Times New Roman"/>
                <w:color w:val="000000"/>
                <w:sz w:val="24"/>
                <w:szCs w:val="24"/>
                <w:lang w:val="en-US" w:eastAsia="fr-BE"/>
              </w:rPr>
              <w:t> </w:t>
            </w:r>
          </w:p>
        </w:tc>
        <w:tc>
          <w:tcPr>
            <w:tcW w:w="2378" w:type="dxa"/>
            <w:tcBorders>
              <w:top w:val="nil"/>
              <w:left w:val="nil"/>
              <w:bottom w:val="single" w:sz="4" w:space="0" w:color="auto"/>
              <w:right w:val="nil"/>
            </w:tcBorders>
            <w:shd w:val="clear" w:color="auto" w:fill="auto"/>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en-US" w:eastAsia="fr-BE"/>
              </w:rPr>
            </w:pPr>
            <w:r w:rsidRPr="00117506">
              <w:rPr>
                <w:rFonts w:ascii="Calibri" w:eastAsia="Times New Roman" w:hAnsi="Calibri" w:cs="Times New Roman"/>
                <w:color w:val="000000"/>
                <w:sz w:val="24"/>
                <w:szCs w:val="24"/>
                <w:lang w:val="en-US" w:eastAsia="fr-BE"/>
              </w:rPr>
              <w:t xml:space="preserve">% of funds with </w:t>
            </w:r>
            <w:r w:rsidRPr="00117506">
              <w:rPr>
                <w:rFonts w:ascii="Calibri" w:eastAsia="Times New Roman" w:hAnsi="Calibri" w:cs="Times New Roman"/>
                <w:color w:val="000000"/>
                <w:sz w:val="24"/>
                <w:szCs w:val="24"/>
                <w:lang w:val="fr-BE" w:eastAsia="fr-BE"/>
              </w:rPr>
              <w:t>θ</w:t>
            </w:r>
            <w:r w:rsidRPr="00117506">
              <w:rPr>
                <w:rFonts w:ascii="Calibri" w:eastAsia="Times New Roman" w:hAnsi="Calibri" w:cs="Times New Roman"/>
                <w:color w:val="000000"/>
                <w:sz w:val="24"/>
                <w:szCs w:val="24"/>
                <w:vertAlign w:val="subscript"/>
                <w:lang w:val="en-US" w:eastAsia="fr-BE"/>
              </w:rPr>
              <w:t xml:space="preserve">1 </w:t>
            </w:r>
            <w:r w:rsidRPr="00117506">
              <w:rPr>
                <w:rFonts w:ascii="Calibri" w:eastAsia="Times New Roman" w:hAnsi="Calibri" w:cs="Times New Roman"/>
                <w:color w:val="000000"/>
                <w:sz w:val="24"/>
                <w:szCs w:val="24"/>
                <w:lang w:val="en-US" w:eastAsia="fr-BE"/>
              </w:rPr>
              <w:t>(</w:t>
            </w:r>
            <w:r w:rsidRPr="00117506">
              <w:rPr>
                <w:rFonts w:ascii="Calibri" w:eastAsia="Times New Roman" w:hAnsi="Calibri" w:cs="Times New Roman"/>
                <w:color w:val="000000"/>
                <w:sz w:val="24"/>
                <w:szCs w:val="24"/>
                <w:lang w:val="fr-BE" w:eastAsia="fr-BE"/>
              </w:rPr>
              <w:t>Δ</w:t>
            </w:r>
            <w:r w:rsidRPr="00117506">
              <w:rPr>
                <w:rFonts w:ascii="Calibri" w:eastAsia="Times New Roman" w:hAnsi="Calibri" w:cs="Times New Roman"/>
                <w:color w:val="000000"/>
                <w:sz w:val="24"/>
                <w:szCs w:val="24"/>
                <w:lang w:val="en-US" w:eastAsia="fr-BE"/>
              </w:rPr>
              <w:t>MKT) significantly positive*</w:t>
            </w:r>
          </w:p>
        </w:tc>
        <w:tc>
          <w:tcPr>
            <w:tcW w:w="2080" w:type="dxa"/>
            <w:tcBorders>
              <w:top w:val="nil"/>
              <w:left w:val="nil"/>
              <w:bottom w:val="single" w:sz="4" w:space="0" w:color="auto"/>
              <w:right w:val="nil"/>
            </w:tcBorders>
            <w:shd w:val="clear" w:color="auto" w:fill="auto"/>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en-US" w:eastAsia="fr-BE"/>
              </w:rPr>
            </w:pPr>
            <w:r w:rsidRPr="00117506">
              <w:rPr>
                <w:rFonts w:ascii="Calibri" w:eastAsia="Times New Roman" w:hAnsi="Calibri" w:cs="Times New Roman"/>
                <w:color w:val="000000"/>
                <w:sz w:val="24"/>
                <w:szCs w:val="24"/>
                <w:lang w:val="en-US" w:eastAsia="fr-BE"/>
              </w:rPr>
              <w:t xml:space="preserve">% of funds with </w:t>
            </w:r>
            <w:r w:rsidRPr="00117506">
              <w:rPr>
                <w:rFonts w:ascii="Calibri" w:eastAsia="Times New Roman" w:hAnsi="Calibri" w:cs="Times New Roman"/>
                <w:color w:val="000000"/>
                <w:sz w:val="24"/>
                <w:szCs w:val="24"/>
                <w:lang w:val="fr-BE" w:eastAsia="fr-BE"/>
              </w:rPr>
              <w:t>θ</w:t>
            </w:r>
            <w:r w:rsidRPr="00117506">
              <w:rPr>
                <w:rFonts w:ascii="Calibri" w:eastAsia="Times New Roman" w:hAnsi="Calibri" w:cs="Times New Roman"/>
                <w:color w:val="000000"/>
                <w:sz w:val="24"/>
                <w:szCs w:val="24"/>
                <w:vertAlign w:val="subscript"/>
                <w:lang w:val="en-US" w:eastAsia="fr-BE"/>
              </w:rPr>
              <w:t xml:space="preserve">2 </w:t>
            </w:r>
            <w:r w:rsidRPr="00117506">
              <w:rPr>
                <w:rFonts w:ascii="Calibri" w:eastAsia="Times New Roman" w:hAnsi="Calibri" w:cs="Times New Roman"/>
                <w:color w:val="000000"/>
                <w:sz w:val="24"/>
                <w:szCs w:val="24"/>
                <w:lang w:val="en-US" w:eastAsia="fr-BE"/>
              </w:rPr>
              <w:t>(</w:t>
            </w:r>
            <w:r w:rsidRPr="00117506">
              <w:rPr>
                <w:rFonts w:ascii="Calibri" w:eastAsia="Times New Roman" w:hAnsi="Calibri" w:cs="Times New Roman"/>
                <w:color w:val="000000"/>
                <w:sz w:val="24"/>
                <w:szCs w:val="24"/>
                <w:lang w:val="fr-BE" w:eastAsia="fr-BE"/>
              </w:rPr>
              <w:t>Δ</w:t>
            </w:r>
            <w:r w:rsidRPr="00117506">
              <w:rPr>
                <w:rFonts w:ascii="Calibri" w:eastAsia="Times New Roman" w:hAnsi="Calibri" w:cs="Times New Roman"/>
                <w:color w:val="000000"/>
                <w:sz w:val="24"/>
                <w:szCs w:val="24"/>
                <w:lang w:val="en-US" w:eastAsia="fr-BE"/>
              </w:rPr>
              <w:t>V) significantly negative*</w:t>
            </w:r>
          </w:p>
        </w:tc>
        <w:tc>
          <w:tcPr>
            <w:tcW w:w="2080" w:type="dxa"/>
            <w:tcBorders>
              <w:top w:val="nil"/>
              <w:left w:val="nil"/>
              <w:bottom w:val="single" w:sz="4" w:space="0" w:color="auto"/>
              <w:right w:val="nil"/>
            </w:tcBorders>
            <w:shd w:val="clear" w:color="auto" w:fill="auto"/>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en-US" w:eastAsia="fr-BE"/>
              </w:rPr>
            </w:pPr>
            <w:r w:rsidRPr="00117506">
              <w:rPr>
                <w:rFonts w:ascii="Calibri" w:eastAsia="Times New Roman" w:hAnsi="Calibri" w:cs="Times New Roman"/>
                <w:color w:val="000000"/>
                <w:sz w:val="24"/>
                <w:szCs w:val="24"/>
                <w:lang w:val="en-US" w:eastAsia="fr-BE"/>
              </w:rPr>
              <w:t xml:space="preserve">% of funds with </w:t>
            </w:r>
            <w:r w:rsidRPr="00117506">
              <w:rPr>
                <w:rFonts w:ascii="Calibri" w:eastAsia="Times New Roman" w:hAnsi="Calibri" w:cs="Times New Roman"/>
                <w:color w:val="000000"/>
                <w:sz w:val="24"/>
                <w:szCs w:val="24"/>
                <w:lang w:val="fr-BE" w:eastAsia="fr-BE"/>
              </w:rPr>
              <w:t>θ</w:t>
            </w:r>
            <w:r w:rsidRPr="00117506">
              <w:rPr>
                <w:rFonts w:ascii="Calibri" w:eastAsia="Times New Roman" w:hAnsi="Calibri" w:cs="Times New Roman"/>
                <w:color w:val="000000"/>
                <w:sz w:val="24"/>
                <w:szCs w:val="24"/>
                <w:vertAlign w:val="subscript"/>
                <w:lang w:val="en-US" w:eastAsia="fr-BE"/>
              </w:rPr>
              <w:t xml:space="preserve">3 </w:t>
            </w:r>
            <w:r w:rsidRPr="00117506">
              <w:rPr>
                <w:rFonts w:ascii="Calibri" w:eastAsia="Times New Roman" w:hAnsi="Calibri" w:cs="Times New Roman"/>
                <w:color w:val="000000"/>
                <w:sz w:val="24"/>
                <w:szCs w:val="24"/>
                <w:lang w:val="en-US" w:eastAsia="fr-BE"/>
              </w:rPr>
              <w:t>(</w:t>
            </w:r>
            <w:r w:rsidRPr="00117506">
              <w:rPr>
                <w:rFonts w:ascii="Calibri" w:eastAsia="Times New Roman" w:hAnsi="Calibri" w:cs="Times New Roman"/>
                <w:color w:val="000000"/>
                <w:sz w:val="24"/>
                <w:szCs w:val="24"/>
                <w:lang w:val="fr-BE" w:eastAsia="fr-BE"/>
              </w:rPr>
              <w:t>Δ</w:t>
            </w:r>
            <w:r w:rsidRPr="00117506">
              <w:rPr>
                <w:rFonts w:ascii="Calibri" w:eastAsia="Times New Roman" w:hAnsi="Calibri" w:cs="Times New Roman"/>
                <w:color w:val="000000"/>
                <w:sz w:val="24"/>
                <w:szCs w:val="24"/>
                <w:lang w:val="en-US" w:eastAsia="fr-BE"/>
              </w:rPr>
              <w:t>L) significantly positive*</w:t>
            </w:r>
          </w:p>
        </w:tc>
      </w:tr>
      <w:tr w:rsidR="00117506" w:rsidRPr="00BE2CF8"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en-US" w:eastAsia="fr-BE"/>
              </w:rPr>
            </w:pPr>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en-US" w:eastAsia="fr-BE"/>
              </w:rPr>
            </w:pP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en-US" w:eastAsia="fr-BE"/>
              </w:rPr>
            </w:pP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en-US" w:eastAsia="fr-BE"/>
              </w:rPr>
            </w:pP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TOTAL</w:t>
            </w:r>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6.04%</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14.06%</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13.38%</w:t>
            </w: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proofErr w:type="spellStart"/>
            <w:r w:rsidRPr="00117506">
              <w:rPr>
                <w:rFonts w:ascii="Calibri" w:eastAsia="Times New Roman" w:hAnsi="Calibri" w:cs="Times New Roman"/>
                <w:color w:val="000000"/>
                <w:sz w:val="24"/>
                <w:szCs w:val="24"/>
                <w:lang w:val="fr-BE" w:eastAsia="fr-BE"/>
              </w:rPr>
              <w:t>Surviving</w:t>
            </w:r>
            <w:proofErr w:type="spellEnd"/>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5.98%</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24.73%</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18.84%</w:t>
            </w: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Non-</w:t>
            </w:r>
            <w:proofErr w:type="spellStart"/>
            <w:r w:rsidRPr="00117506">
              <w:rPr>
                <w:rFonts w:ascii="Calibri" w:eastAsia="Times New Roman" w:hAnsi="Calibri" w:cs="Times New Roman"/>
                <w:color w:val="000000"/>
                <w:sz w:val="24"/>
                <w:szCs w:val="24"/>
                <w:lang w:val="fr-BE" w:eastAsia="fr-BE"/>
              </w:rPr>
              <w:t>surviving</w:t>
            </w:r>
            <w:proofErr w:type="spellEnd"/>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6.10%</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5.90%</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9.21%</w:t>
            </w: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AGG</w:t>
            </w:r>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5.33%</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19.67%</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6.62%</w:t>
            </w: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LTG</w:t>
            </w:r>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7.77%</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10.66%</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13.97%</w:t>
            </w: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GI</w:t>
            </w:r>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5.37%</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16.30%</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13.33%</w:t>
            </w:r>
          </w:p>
        </w:tc>
      </w:tr>
      <w:tr w:rsidR="00117506" w:rsidRPr="00117506" w:rsidTr="00117506">
        <w:trPr>
          <w:trHeight w:val="315"/>
        </w:trPr>
        <w:tc>
          <w:tcPr>
            <w:tcW w:w="2142"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I</w:t>
            </w:r>
          </w:p>
        </w:tc>
        <w:tc>
          <w:tcPr>
            <w:tcW w:w="2378"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3.81%</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13.43%</w:t>
            </w:r>
          </w:p>
        </w:tc>
        <w:tc>
          <w:tcPr>
            <w:tcW w:w="2080" w:type="dxa"/>
            <w:tcBorders>
              <w:top w:val="nil"/>
              <w:left w:val="nil"/>
              <w:bottom w:val="nil"/>
              <w:right w:val="nil"/>
            </w:tcBorders>
            <w:shd w:val="clear" w:color="auto" w:fill="auto"/>
            <w:noWrap/>
            <w:vAlign w:val="bottom"/>
            <w:hideMark/>
          </w:tcPr>
          <w:p w:rsidR="00117506" w:rsidRPr="00117506" w:rsidRDefault="00117506" w:rsidP="00117506">
            <w:pPr>
              <w:spacing w:after="0" w:line="240" w:lineRule="auto"/>
              <w:jc w:val="center"/>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18.87%</w:t>
            </w:r>
          </w:p>
        </w:tc>
      </w:tr>
      <w:tr w:rsidR="00117506" w:rsidRPr="00117506" w:rsidTr="00117506">
        <w:trPr>
          <w:trHeight w:val="315"/>
        </w:trPr>
        <w:tc>
          <w:tcPr>
            <w:tcW w:w="2142" w:type="dxa"/>
            <w:tcBorders>
              <w:top w:val="nil"/>
              <w:left w:val="nil"/>
              <w:bottom w:val="single" w:sz="4" w:space="0" w:color="auto"/>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 </w:t>
            </w:r>
          </w:p>
        </w:tc>
        <w:tc>
          <w:tcPr>
            <w:tcW w:w="2378" w:type="dxa"/>
            <w:tcBorders>
              <w:top w:val="nil"/>
              <w:left w:val="nil"/>
              <w:bottom w:val="single" w:sz="4" w:space="0" w:color="auto"/>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 </w:t>
            </w:r>
          </w:p>
        </w:tc>
        <w:tc>
          <w:tcPr>
            <w:tcW w:w="2080" w:type="dxa"/>
            <w:tcBorders>
              <w:top w:val="nil"/>
              <w:left w:val="nil"/>
              <w:bottom w:val="single" w:sz="4" w:space="0" w:color="auto"/>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 </w:t>
            </w:r>
          </w:p>
        </w:tc>
        <w:tc>
          <w:tcPr>
            <w:tcW w:w="2080" w:type="dxa"/>
            <w:tcBorders>
              <w:top w:val="nil"/>
              <w:left w:val="nil"/>
              <w:bottom w:val="single" w:sz="4" w:space="0" w:color="auto"/>
              <w:right w:val="nil"/>
            </w:tcBorders>
            <w:shd w:val="clear" w:color="auto" w:fill="auto"/>
            <w:noWrap/>
            <w:vAlign w:val="bottom"/>
            <w:hideMark/>
          </w:tcPr>
          <w:p w:rsidR="00117506" w:rsidRPr="00117506" w:rsidRDefault="00117506" w:rsidP="00117506">
            <w:pPr>
              <w:spacing w:after="0" w:line="240" w:lineRule="auto"/>
              <w:rPr>
                <w:rFonts w:ascii="Calibri" w:eastAsia="Times New Roman" w:hAnsi="Calibri" w:cs="Times New Roman"/>
                <w:color w:val="000000"/>
                <w:sz w:val="24"/>
                <w:szCs w:val="24"/>
                <w:lang w:val="fr-BE" w:eastAsia="fr-BE"/>
              </w:rPr>
            </w:pPr>
            <w:r w:rsidRPr="00117506">
              <w:rPr>
                <w:rFonts w:ascii="Calibri" w:eastAsia="Times New Roman" w:hAnsi="Calibri" w:cs="Times New Roman"/>
                <w:color w:val="000000"/>
                <w:sz w:val="24"/>
                <w:szCs w:val="24"/>
                <w:lang w:val="fr-BE" w:eastAsia="fr-BE"/>
              </w:rPr>
              <w:t> </w:t>
            </w:r>
          </w:p>
        </w:tc>
      </w:tr>
    </w:tbl>
    <w:p w:rsidR="00227CED" w:rsidRDefault="00117506" w:rsidP="00904F67">
      <w:pPr>
        <w:spacing w:line="480" w:lineRule="auto"/>
        <w:jc w:val="both"/>
        <w:rPr>
          <w:lang w:val="en-US"/>
        </w:rPr>
      </w:pPr>
      <w:r>
        <w:rPr>
          <w:lang w:val="en-US"/>
        </w:rPr>
        <w:t xml:space="preserve">Note: * significance at the 5% level of a one-sided test. </w:t>
      </w:r>
    </w:p>
    <w:p w:rsidR="008B0FF0" w:rsidRDefault="008B0FF0" w:rsidP="00904F67">
      <w:pPr>
        <w:spacing w:line="480" w:lineRule="auto"/>
        <w:jc w:val="both"/>
        <w:rPr>
          <w:lang w:val="en-US"/>
        </w:rPr>
      </w:pPr>
    </w:p>
    <w:p w:rsidR="008B0FF0" w:rsidRDefault="00A7634A" w:rsidP="00904F67">
      <w:pPr>
        <w:spacing w:line="480" w:lineRule="auto"/>
        <w:jc w:val="both"/>
        <w:rPr>
          <w:sz w:val="24"/>
          <w:szCs w:val="24"/>
          <w:lang w:val="en-US"/>
        </w:rPr>
      </w:pPr>
      <w:r>
        <w:rPr>
          <w:sz w:val="24"/>
          <w:szCs w:val="24"/>
          <w:lang w:val="en-US"/>
        </w:rPr>
        <w:t xml:space="preserve">Results indicate that approximately 1 fund out of 17 exhibit significant return timing abilities. This is significantly more than the 1 out of 57 found by </w:t>
      </w:r>
      <w:proofErr w:type="spellStart"/>
      <w:r>
        <w:rPr>
          <w:sz w:val="24"/>
          <w:szCs w:val="24"/>
          <w:lang w:val="en-US"/>
        </w:rPr>
        <w:t>Treynor</w:t>
      </w:r>
      <w:proofErr w:type="spellEnd"/>
      <w:r>
        <w:rPr>
          <w:sz w:val="24"/>
          <w:szCs w:val="24"/>
          <w:lang w:val="en-US"/>
        </w:rPr>
        <w:t xml:space="preserve"> and </w:t>
      </w:r>
      <w:proofErr w:type="spellStart"/>
      <w:r>
        <w:rPr>
          <w:sz w:val="24"/>
          <w:szCs w:val="24"/>
          <w:lang w:val="en-US"/>
        </w:rPr>
        <w:t>Mazuy</w:t>
      </w:r>
      <w:proofErr w:type="spellEnd"/>
      <w:r>
        <w:rPr>
          <w:sz w:val="24"/>
          <w:szCs w:val="24"/>
          <w:lang w:val="en-US"/>
        </w:rPr>
        <w:t xml:space="preserve"> (1966). These proportions amount to around 1 out of 7 funds for volatility and liquidity timing.</w:t>
      </w:r>
    </w:p>
    <w:p w:rsidR="00805A95" w:rsidRDefault="00805A95" w:rsidP="00904F67">
      <w:pPr>
        <w:spacing w:line="480" w:lineRule="auto"/>
        <w:jc w:val="both"/>
        <w:rPr>
          <w:sz w:val="24"/>
          <w:szCs w:val="24"/>
          <w:lang w:val="en-US"/>
        </w:rPr>
      </w:pPr>
      <w:r>
        <w:rPr>
          <w:sz w:val="24"/>
          <w:szCs w:val="24"/>
          <w:lang w:val="en-US"/>
        </w:rPr>
        <w:lastRenderedPageBreak/>
        <w:t xml:space="preserve">Regarding surviving and non-surviving funds, there seems to be no difference in terms of the percentage of mutual funds with return timing abilities (both groups display a percentage around 6%). However, the differences are stronger for volatility and liquidity timing. While only 5.9% of non-surviving mutual funds show evidence of volatility market timing, this percentage rises up to 24.7% for surviving mutual funds. The same pattern can be observed for liquidity market timing </w:t>
      </w:r>
      <w:r w:rsidR="0092558C">
        <w:rPr>
          <w:sz w:val="24"/>
          <w:szCs w:val="24"/>
          <w:lang w:val="en-US"/>
        </w:rPr>
        <w:t>for which</w:t>
      </w:r>
      <w:r>
        <w:rPr>
          <w:sz w:val="24"/>
          <w:szCs w:val="24"/>
          <w:lang w:val="en-US"/>
        </w:rPr>
        <w:t xml:space="preserve"> the percentages are 9.2% for non-surviving funds and </w:t>
      </w:r>
      <w:r w:rsidR="000F25C1">
        <w:rPr>
          <w:sz w:val="24"/>
          <w:szCs w:val="24"/>
          <w:lang w:val="en-US"/>
        </w:rPr>
        <w:t>slightly more than twice as much for surviving funds (18.8%)</w:t>
      </w:r>
      <w:r>
        <w:rPr>
          <w:sz w:val="24"/>
          <w:szCs w:val="24"/>
          <w:lang w:val="en-US"/>
        </w:rPr>
        <w:t xml:space="preserve">. </w:t>
      </w:r>
    </w:p>
    <w:p w:rsidR="001339A0" w:rsidRDefault="0087044B" w:rsidP="001339A0">
      <w:pPr>
        <w:spacing w:line="480" w:lineRule="auto"/>
        <w:jc w:val="both"/>
        <w:rPr>
          <w:sz w:val="24"/>
          <w:szCs w:val="24"/>
          <w:lang w:val="en-US"/>
        </w:rPr>
      </w:pPr>
      <w:r>
        <w:rPr>
          <w:sz w:val="24"/>
          <w:szCs w:val="24"/>
          <w:lang w:val="en-US"/>
        </w:rPr>
        <w:t xml:space="preserve">With respect to investment strategies, the proportion of mutual funds with significant return timing abilities ranges from 1 out of 13 for the Long Term growth strategy to 1 out of 26 for the income strategies. As already mentioned, this may be due to the goal of the strategy which is to provide regular streams of payments and the lower exposure to market returns.  </w:t>
      </w:r>
      <w:r w:rsidR="001339A0">
        <w:rPr>
          <w:sz w:val="24"/>
          <w:szCs w:val="24"/>
          <w:lang w:val="en-US"/>
        </w:rPr>
        <w:t xml:space="preserve">In this context, Income mutual funds may be more concerned about changes in market-wide volatility and liquidity. This is reflected in the higher percentages of funds exhibiting volatility timing abilities (13.43%) and liquidity timing abilities (18.87%).  </w:t>
      </w:r>
      <w:r w:rsidR="00520D75">
        <w:rPr>
          <w:sz w:val="24"/>
          <w:szCs w:val="24"/>
          <w:lang w:val="en-US"/>
        </w:rPr>
        <w:t xml:space="preserve">Proportions for volatility timing are the highest for the Aggressive Growth category with </w:t>
      </w:r>
      <w:r w:rsidR="005903D6">
        <w:rPr>
          <w:sz w:val="24"/>
          <w:szCs w:val="24"/>
          <w:lang w:val="en-US"/>
        </w:rPr>
        <w:t>1 fund out of 5</w:t>
      </w:r>
      <w:r w:rsidR="000346DD">
        <w:rPr>
          <w:sz w:val="24"/>
          <w:szCs w:val="24"/>
          <w:lang w:val="en-US"/>
        </w:rPr>
        <w:t xml:space="preserve"> </w:t>
      </w:r>
      <w:r w:rsidR="005903D6">
        <w:rPr>
          <w:sz w:val="24"/>
          <w:szCs w:val="24"/>
          <w:lang w:val="en-US"/>
        </w:rPr>
        <w:t>display</w:t>
      </w:r>
      <w:r w:rsidR="00520D75">
        <w:rPr>
          <w:sz w:val="24"/>
          <w:szCs w:val="24"/>
          <w:lang w:val="en-US"/>
        </w:rPr>
        <w:t>ing</w:t>
      </w:r>
      <w:r w:rsidR="005903D6">
        <w:rPr>
          <w:sz w:val="24"/>
          <w:szCs w:val="24"/>
          <w:lang w:val="en-US"/>
        </w:rPr>
        <w:t xml:space="preserve"> </w:t>
      </w:r>
      <w:r w:rsidR="000346DD">
        <w:rPr>
          <w:sz w:val="24"/>
          <w:szCs w:val="24"/>
          <w:lang w:val="en-US"/>
        </w:rPr>
        <w:t>significant timing abilities</w:t>
      </w:r>
      <w:r w:rsidR="0055680D">
        <w:rPr>
          <w:sz w:val="24"/>
          <w:szCs w:val="24"/>
          <w:lang w:val="en-US"/>
        </w:rPr>
        <w:t xml:space="preserve"> and the lowest for the Long Term Growth strategy with </w:t>
      </w:r>
      <w:r w:rsidR="003E7421">
        <w:rPr>
          <w:sz w:val="24"/>
          <w:szCs w:val="24"/>
          <w:lang w:val="en-US"/>
        </w:rPr>
        <w:t>only 1 fund out 9</w:t>
      </w:r>
      <w:r w:rsidR="0055680D">
        <w:rPr>
          <w:sz w:val="24"/>
          <w:szCs w:val="24"/>
          <w:lang w:val="en-US"/>
        </w:rPr>
        <w:t xml:space="preserve"> exhibiting the same timing skills.</w:t>
      </w:r>
      <w:r w:rsidR="00AD2138">
        <w:rPr>
          <w:sz w:val="24"/>
          <w:szCs w:val="24"/>
          <w:lang w:val="en-US"/>
        </w:rPr>
        <w:t xml:space="preserve"> Lastly, liquidity timing abilities also seem to be prevailing for a part of mutual funds in our dataset. We can notice that the Aggressive Growth strategy has the lowest percentage for liquidity timing abilities (only 6.62%) while it has the highest figures from the volatility timing perspective. </w:t>
      </w:r>
      <w:r w:rsidR="00643CD3">
        <w:rPr>
          <w:sz w:val="24"/>
          <w:szCs w:val="24"/>
          <w:lang w:val="en-US"/>
        </w:rPr>
        <w:t>The highest proportion is reached by the Income strategy with 1 fund out of 5.</w:t>
      </w:r>
    </w:p>
    <w:p w:rsidR="008D1764" w:rsidRDefault="008D1764" w:rsidP="001339A0">
      <w:pPr>
        <w:spacing w:line="480" w:lineRule="auto"/>
        <w:jc w:val="both"/>
        <w:rPr>
          <w:sz w:val="24"/>
          <w:szCs w:val="24"/>
          <w:lang w:val="en-US"/>
        </w:rPr>
      </w:pPr>
      <w:r>
        <w:rPr>
          <w:sz w:val="24"/>
          <w:szCs w:val="24"/>
          <w:lang w:val="en-US"/>
        </w:rPr>
        <w:t xml:space="preserve">On the whole there seems to </w:t>
      </w:r>
      <w:r w:rsidR="00523758">
        <w:rPr>
          <w:sz w:val="24"/>
          <w:szCs w:val="24"/>
          <w:lang w:val="en-US"/>
        </w:rPr>
        <w:t>be</w:t>
      </w:r>
      <w:r>
        <w:rPr>
          <w:sz w:val="24"/>
          <w:szCs w:val="24"/>
          <w:lang w:val="en-US"/>
        </w:rPr>
        <w:t xml:space="preserve"> a non-negligible part of mutual funds which </w:t>
      </w:r>
      <w:r w:rsidR="00523758">
        <w:rPr>
          <w:sz w:val="24"/>
          <w:szCs w:val="24"/>
          <w:lang w:val="en-US"/>
        </w:rPr>
        <w:t>have</w:t>
      </w:r>
      <w:r>
        <w:rPr>
          <w:sz w:val="24"/>
          <w:szCs w:val="24"/>
          <w:lang w:val="en-US"/>
        </w:rPr>
        <w:t xml:space="preserve"> market timing abilities. Return timing ability is less frequently found to be significant. This should be </w:t>
      </w:r>
      <w:r>
        <w:rPr>
          <w:sz w:val="24"/>
          <w:szCs w:val="24"/>
          <w:lang w:val="en-US"/>
        </w:rPr>
        <w:lastRenderedPageBreak/>
        <w:t xml:space="preserve">surprising as market return is certainly more complicated to be predicted than volatility and liquidity. </w:t>
      </w:r>
      <w:r w:rsidR="008F6940">
        <w:rPr>
          <w:sz w:val="24"/>
          <w:szCs w:val="24"/>
          <w:lang w:val="en-US"/>
        </w:rPr>
        <w:t>Though there exist discrepancies between investment categories, the most striking results is certainly the huge difference which exist between the number of surviving and non-surviving fund</w:t>
      </w:r>
      <w:r>
        <w:rPr>
          <w:sz w:val="24"/>
          <w:szCs w:val="24"/>
          <w:lang w:val="en-US"/>
        </w:rPr>
        <w:t xml:space="preserve"> </w:t>
      </w:r>
      <w:r w:rsidR="008F6940">
        <w:rPr>
          <w:sz w:val="24"/>
          <w:szCs w:val="24"/>
          <w:lang w:val="en-US"/>
        </w:rPr>
        <w:t xml:space="preserve">exhibiting volatility and liquidity timing abilities. The percentage of </w:t>
      </w:r>
      <w:r w:rsidR="00923285">
        <w:rPr>
          <w:sz w:val="24"/>
          <w:szCs w:val="24"/>
          <w:lang w:val="en-US"/>
        </w:rPr>
        <w:t>surviving</w:t>
      </w:r>
      <w:r w:rsidR="008F6940">
        <w:rPr>
          <w:sz w:val="24"/>
          <w:szCs w:val="24"/>
          <w:lang w:val="en-US"/>
        </w:rPr>
        <w:t xml:space="preserve"> funds displaying volatility (respectively liquidity) timing abilities is more than 4 times (respectively twice as much as) the percentage of non-surviving funds. </w:t>
      </w:r>
    </w:p>
    <w:p w:rsidR="00BC4EFC" w:rsidRDefault="00BC4EFC" w:rsidP="001339A0">
      <w:pPr>
        <w:spacing w:line="480" w:lineRule="auto"/>
        <w:jc w:val="both"/>
        <w:rPr>
          <w:sz w:val="24"/>
          <w:szCs w:val="24"/>
          <w:lang w:val="en-US"/>
        </w:rPr>
      </w:pPr>
    </w:p>
    <w:p w:rsidR="00BC4EFC" w:rsidRDefault="00BC4EFC" w:rsidP="00BC4EFC">
      <w:pPr>
        <w:spacing w:line="480" w:lineRule="auto"/>
        <w:jc w:val="both"/>
        <w:rPr>
          <w:b/>
          <w:sz w:val="28"/>
          <w:szCs w:val="28"/>
          <w:lang w:val="en-US"/>
        </w:rPr>
      </w:pPr>
      <w:r>
        <w:rPr>
          <w:b/>
          <w:sz w:val="28"/>
          <w:szCs w:val="28"/>
          <w:lang w:val="en-US"/>
        </w:rPr>
        <w:t>Conclusion</w:t>
      </w:r>
    </w:p>
    <w:p w:rsidR="00BC4EFC" w:rsidRDefault="004F1261" w:rsidP="00BC4EFC">
      <w:pPr>
        <w:spacing w:line="480" w:lineRule="auto"/>
        <w:jc w:val="both"/>
        <w:rPr>
          <w:sz w:val="24"/>
          <w:szCs w:val="24"/>
          <w:lang w:val="en-US"/>
        </w:rPr>
      </w:pPr>
      <w:r>
        <w:rPr>
          <w:sz w:val="24"/>
          <w:szCs w:val="24"/>
          <w:lang w:val="en-US"/>
        </w:rPr>
        <w:t xml:space="preserve">The goal of this paper is to </w:t>
      </w:r>
      <w:r w:rsidR="00523758">
        <w:rPr>
          <w:sz w:val="24"/>
          <w:szCs w:val="24"/>
          <w:lang w:val="en-US"/>
        </w:rPr>
        <w:t xml:space="preserve">develop a global investigation of mutual fund managers’ market timing abilities from the three perspectives of market return, volatility and liquidity. We offer an analysis in which these three market timing skills are tested together for a large database of equity mutual funds. A second contribution of this paper is the specification that we use to test the presence of market timing. While most previous studies make the assumption of an average market exposure to which mutual funds return in times of average market conditions, we allow the existence of a dynamic market exposure even without any market timing intervention. Specifically, we model the change in market exposure of a mutual as a function of changes in market return, market-wide liquidity and aggregate volatility. In the absence f market timing abilities, the market exposure of a fund is nevertheless allowed to evolve according to a random walk. Consequently, in our analysis, market timing is not the only source of mutual funds’ market exposure. This is consistent with the fact that the market exposure of a mutual fund may vary according to factors which are not due to any market timing ability of their managers (such as for instance changes in investment style or market exposure of underlying assets). </w:t>
      </w:r>
    </w:p>
    <w:p w:rsidR="002C273B" w:rsidRDefault="002C273B" w:rsidP="00BC4EFC">
      <w:pPr>
        <w:spacing w:line="480" w:lineRule="auto"/>
        <w:jc w:val="both"/>
        <w:rPr>
          <w:sz w:val="24"/>
          <w:szCs w:val="24"/>
          <w:lang w:val="en-US"/>
        </w:rPr>
      </w:pPr>
      <w:r>
        <w:rPr>
          <w:sz w:val="24"/>
          <w:szCs w:val="24"/>
          <w:lang w:val="en-US"/>
        </w:rPr>
        <w:lastRenderedPageBreak/>
        <w:t>We study market timing for equally weighted portfolio of all the funds in the database as well as for 4 different investment strategies (Aggressive Growth, Long Term Growth, Growth and Income and Income). Global results suggest the existence of volatility and liquidity timing abilities</w:t>
      </w:r>
      <w:r w:rsidR="007F5C92">
        <w:rPr>
          <w:sz w:val="24"/>
          <w:szCs w:val="24"/>
          <w:lang w:val="en-US"/>
        </w:rPr>
        <w:t xml:space="preserve"> (though not necessarily for all investment strategies) but</w:t>
      </w:r>
      <w:r>
        <w:rPr>
          <w:sz w:val="24"/>
          <w:szCs w:val="24"/>
          <w:lang w:val="en-US"/>
        </w:rPr>
        <w:t xml:space="preserve"> not of return </w:t>
      </w:r>
      <w:r w:rsidR="007F5C92">
        <w:rPr>
          <w:sz w:val="24"/>
          <w:szCs w:val="24"/>
          <w:lang w:val="en-US"/>
        </w:rPr>
        <w:t xml:space="preserve">timing. We further investigate market timing on a fund-by-fund basis. We find that around 6% of mutual funds exhibit return timing abilities. These percentages are multiplied by more than two for volatility and liquidity timing. </w:t>
      </w:r>
      <w:r w:rsidR="00C8618D">
        <w:rPr>
          <w:sz w:val="24"/>
          <w:szCs w:val="24"/>
          <w:lang w:val="en-US"/>
        </w:rPr>
        <w:t xml:space="preserve">Surviving funds tend to have more volatility and liquidity timing abilities than dead funds. </w:t>
      </w: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BC4EFC">
      <w:pPr>
        <w:spacing w:line="480" w:lineRule="auto"/>
        <w:jc w:val="both"/>
        <w:rPr>
          <w:sz w:val="24"/>
          <w:szCs w:val="24"/>
          <w:lang w:val="en-US"/>
        </w:rPr>
      </w:pPr>
    </w:p>
    <w:p w:rsidR="00900E49" w:rsidRDefault="00900E49" w:rsidP="00900E49">
      <w:pPr>
        <w:spacing w:line="480" w:lineRule="auto"/>
        <w:jc w:val="both"/>
        <w:rPr>
          <w:b/>
          <w:sz w:val="28"/>
          <w:szCs w:val="28"/>
          <w:lang w:val="en-US"/>
        </w:rPr>
      </w:pPr>
      <w:r>
        <w:rPr>
          <w:b/>
          <w:sz w:val="28"/>
          <w:szCs w:val="28"/>
          <w:lang w:val="en-US"/>
        </w:rPr>
        <w:lastRenderedPageBreak/>
        <w:t>References</w:t>
      </w:r>
    </w:p>
    <w:p w:rsidR="001C68CE" w:rsidRDefault="001C68CE" w:rsidP="001C68CE">
      <w:pPr>
        <w:spacing w:after="0" w:line="480" w:lineRule="auto"/>
        <w:jc w:val="both"/>
        <w:rPr>
          <w:sz w:val="24"/>
          <w:szCs w:val="24"/>
          <w:lang w:val="en-US"/>
        </w:rPr>
      </w:pPr>
      <w:proofErr w:type="spellStart"/>
      <w:proofErr w:type="gramStart"/>
      <w:r>
        <w:rPr>
          <w:sz w:val="24"/>
          <w:szCs w:val="24"/>
          <w:lang w:val="en-US"/>
        </w:rPr>
        <w:t>Bodson</w:t>
      </w:r>
      <w:proofErr w:type="spellEnd"/>
      <w:r>
        <w:rPr>
          <w:sz w:val="24"/>
          <w:szCs w:val="24"/>
          <w:lang w:val="en-US"/>
        </w:rPr>
        <w:t xml:space="preserve">, L., </w:t>
      </w:r>
      <w:proofErr w:type="spellStart"/>
      <w:r>
        <w:rPr>
          <w:sz w:val="24"/>
          <w:szCs w:val="24"/>
          <w:lang w:val="en-US"/>
        </w:rPr>
        <w:t>Coen</w:t>
      </w:r>
      <w:proofErr w:type="spellEnd"/>
      <w:r w:rsidRPr="00FD3695">
        <w:rPr>
          <w:sz w:val="24"/>
          <w:szCs w:val="24"/>
          <w:lang w:val="en-US"/>
        </w:rPr>
        <w:t xml:space="preserve"> </w:t>
      </w:r>
      <w:r>
        <w:rPr>
          <w:sz w:val="24"/>
          <w:szCs w:val="24"/>
          <w:lang w:val="en-US"/>
        </w:rPr>
        <w:t xml:space="preserve">A. and </w:t>
      </w:r>
      <w:proofErr w:type="spellStart"/>
      <w:r>
        <w:rPr>
          <w:sz w:val="24"/>
          <w:szCs w:val="24"/>
          <w:lang w:val="en-US"/>
        </w:rPr>
        <w:t>Hübner</w:t>
      </w:r>
      <w:proofErr w:type="spellEnd"/>
      <w:r w:rsidRPr="00FD3695">
        <w:rPr>
          <w:sz w:val="24"/>
          <w:szCs w:val="24"/>
          <w:lang w:val="en-US"/>
        </w:rPr>
        <w:t xml:space="preserve"> </w:t>
      </w:r>
      <w:r>
        <w:rPr>
          <w:sz w:val="24"/>
          <w:szCs w:val="24"/>
          <w:lang w:val="en-US"/>
        </w:rPr>
        <w:t>G. (2010) Dynamic Hedge Fund Style Analysis with Errors-in-Variables.</w:t>
      </w:r>
      <w:proofErr w:type="gramEnd"/>
      <w:r>
        <w:rPr>
          <w:sz w:val="24"/>
          <w:szCs w:val="24"/>
          <w:lang w:val="en-US"/>
        </w:rPr>
        <w:t xml:space="preserve"> </w:t>
      </w:r>
      <w:r w:rsidRPr="00FD3695">
        <w:rPr>
          <w:i/>
          <w:sz w:val="24"/>
          <w:szCs w:val="24"/>
          <w:lang w:val="en-US"/>
        </w:rPr>
        <w:t xml:space="preserve">Journal of </w:t>
      </w:r>
      <w:r>
        <w:rPr>
          <w:i/>
          <w:sz w:val="24"/>
          <w:szCs w:val="24"/>
          <w:lang w:val="en-US"/>
        </w:rPr>
        <w:t>Financial Research</w:t>
      </w:r>
      <w:r>
        <w:rPr>
          <w:sz w:val="24"/>
          <w:szCs w:val="24"/>
          <w:lang w:val="en-US"/>
        </w:rPr>
        <w:t>, 33(3): 201-221.</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spellStart"/>
      <w:proofErr w:type="gramStart"/>
      <w:r>
        <w:rPr>
          <w:sz w:val="24"/>
          <w:szCs w:val="24"/>
          <w:lang w:val="en-US"/>
        </w:rPr>
        <w:t>Bollen</w:t>
      </w:r>
      <w:proofErr w:type="spellEnd"/>
      <w:r>
        <w:rPr>
          <w:sz w:val="24"/>
          <w:szCs w:val="24"/>
          <w:lang w:val="en-US"/>
        </w:rPr>
        <w:t xml:space="preserve">, N. and </w:t>
      </w:r>
      <w:proofErr w:type="spellStart"/>
      <w:r>
        <w:rPr>
          <w:sz w:val="24"/>
          <w:szCs w:val="24"/>
          <w:lang w:val="en-US"/>
        </w:rPr>
        <w:t>Busse</w:t>
      </w:r>
      <w:proofErr w:type="spellEnd"/>
      <w:r w:rsidRPr="00FD3695">
        <w:rPr>
          <w:sz w:val="24"/>
          <w:szCs w:val="24"/>
          <w:lang w:val="en-US"/>
        </w:rPr>
        <w:t xml:space="preserve"> </w:t>
      </w:r>
      <w:r>
        <w:rPr>
          <w:sz w:val="24"/>
          <w:szCs w:val="24"/>
          <w:lang w:val="en-US"/>
        </w:rPr>
        <w:t>J. (2001) On the Timing Ability of Mutual Fund Managers.</w:t>
      </w:r>
      <w:proofErr w:type="gramEnd"/>
      <w:r>
        <w:rPr>
          <w:sz w:val="24"/>
          <w:szCs w:val="24"/>
          <w:lang w:val="en-US"/>
        </w:rPr>
        <w:t xml:space="preserve"> </w:t>
      </w:r>
      <w:r w:rsidRPr="00FD3695">
        <w:rPr>
          <w:i/>
          <w:sz w:val="24"/>
          <w:szCs w:val="24"/>
          <w:lang w:val="en-US"/>
        </w:rPr>
        <w:t xml:space="preserve">Journal of </w:t>
      </w:r>
      <w:r>
        <w:rPr>
          <w:i/>
          <w:sz w:val="24"/>
          <w:szCs w:val="24"/>
          <w:lang w:val="en-US"/>
        </w:rPr>
        <w:t>Finance</w:t>
      </w:r>
      <w:r>
        <w:rPr>
          <w:sz w:val="24"/>
          <w:szCs w:val="24"/>
          <w:lang w:val="en-US"/>
        </w:rPr>
        <w:t>, 56(3): 1075-1094.</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spellStart"/>
      <w:r>
        <w:rPr>
          <w:sz w:val="24"/>
          <w:szCs w:val="24"/>
          <w:lang w:val="en-US"/>
        </w:rPr>
        <w:t>Busse</w:t>
      </w:r>
      <w:proofErr w:type="spellEnd"/>
      <w:r>
        <w:rPr>
          <w:sz w:val="24"/>
          <w:szCs w:val="24"/>
          <w:lang w:val="en-US"/>
        </w:rPr>
        <w:t xml:space="preserve">, J. (1999) Volatility Timing in Mutual Funds: Evidence from Daily Returns. </w:t>
      </w:r>
      <w:r>
        <w:rPr>
          <w:i/>
          <w:sz w:val="24"/>
          <w:szCs w:val="24"/>
          <w:lang w:val="en-US"/>
        </w:rPr>
        <w:t>Review of Financial Studies</w:t>
      </w:r>
      <w:r>
        <w:rPr>
          <w:sz w:val="24"/>
          <w:szCs w:val="24"/>
          <w:lang w:val="en-US"/>
        </w:rPr>
        <w:t>, 12(5): 1009-1041.</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r>
        <w:rPr>
          <w:sz w:val="24"/>
          <w:szCs w:val="24"/>
          <w:lang w:val="en-US"/>
        </w:rPr>
        <w:t xml:space="preserve">Cao, C., </w:t>
      </w:r>
      <w:proofErr w:type="spellStart"/>
      <w:r>
        <w:rPr>
          <w:sz w:val="24"/>
          <w:szCs w:val="24"/>
          <w:lang w:val="en-US"/>
        </w:rPr>
        <w:t>Simin</w:t>
      </w:r>
      <w:proofErr w:type="spellEnd"/>
      <w:r w:rsidRPr="00FD3695">
        <w:rPr>
          <w:sz w:val="24"/>
          <w:szCs w:val="24"/>
          <w:lang w:val="en-US"/>
        </w:rPr>
        <w:t xml:space="preserve"> </w:t>
      </w:r>
      <w:r>
        <w:rPr>
          <w:sz w:val="24"/>
          <w:szCs w:val="24"/>
          <w:lang w:val="en-US"/>
        </w:rPr>
        <w:t>T. and Wang</w:t>
      </w:r>
      <w:r w:rsidRPr="00FD3695">
        <w:rPr>
          <w:sz w:val="24"/>
          <w:szCs w:val="24"/>
          <w:lang w:val="en-US"/>
        </w:rPr>
        <w:t xml:space="preserve"> </w:t>
      </w:r>
      <w:r>
        <w:rPr>
          <w:sz w:val="24"/>
          <w:szCs w:val="24"/>
          <w:lang w:val="en-US"/>
        </w:rPr>
        <w:t xml:space="preserve">Y. (2011) Do Mutual Fund Managers Time Market Liquidity? </w:t>
      </w:r>
      <w:proofErr w:type="gramStart"/>
      <w:r w:rsidRPr="00A24EC6">
        <w:rPr>
          <w:i/>
          <w:sz w:val="24"/>
          <w:szCs w:val="24"/>
          <w:lang w:val="en-US"/>
        </w:rPr>
        <w:t>SSRN</w:t>
      </w:r>
      <w:r>
        <w:rPr>
          <w:sz w:val="24"/>
          <w:szCs w:val="24"/>
          <w:lang w:val="en-US"/>
        </w:rPr>
        <w:t xml:space="preserve"> </w:t>
      </w:r>
      <w:r>
        <w:rPr>
          <w:i/>
          <w:sz w:val="24"/>
          <w:szCs w:val="24"/>
          <w:lang w:val="en-US"/>
        </w:rPr>
        <w:t>Working Paper</w:t>
      </w:r>
      <w:r>
        <w:rPr>
          <w:sz w:val="24"/>
          <w:szCs w:val="24"/>
          <w:lang w:val="en-US"/>
        </w:rPr>
        <w:t>, April.</w:t>
      </w:r>
      <w:proofErr w:type="gramEnd"/>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spellStart"/>
      <w:r>
        <w:rPr>
          <w:sz w:val="24"/>
          <w:szCs w:val="24"/>
          <w:lang w:val="en-US"/>
        </w:rPr>
        <w:t>Carhart</w:t>
      </w:r>
      <w:proofErr w:type="spellEnd"/>
      <w:r>
        <w:rPr>
          <w:sz w:val="24"/>
          <w:szCs w:val="24"/>
          <w:lang w:val="en-US"/>
        </w:rPr>
        <w:t xml:space="preserve">, M.  </w:t>
      </w:r>
      <w:proofErr w:type="gramStart"/>
      <w:r>
        <w:rPr>
          <w:sz w:val="24"/>
          <w:szCs w:val="24"/>
          <w:lang w:val="en-US"/>
        </w:rPr>
        <w:t>(1997) On Persistence in Mutual Fund Performance.</w:t>
      </w:r>
      <w:proofErr w:type="gramEnd"/>
      <w:r>
        <w:rPr>
          <w:sz w:val="24"/>
          <w:szCs w:val="24"/>
          <w:lang w:val="en-US"/>
        </w:rPr>
        <w:t xml:space="preserve"> </w:t>
      </w:r>
      <w:r w:rsidRPr="00FD3695">
        <w:rPr>
          <w:i/>
          <w:sz w:val="24"/>
          <w:szCs w:val="24"/>
          <w:lang w:val="en-US"/>
        </w:rPr>
        <w:t xml:space="preserve">Journal of </w:t>
      </w:r>
      <w:r>
        <w:rPr>
          <w:i/>
          <w:sz w:val="24"/>
          <w:szCs w:val="24"/>
          <w:lang w:val="en-US"/>
        </w:rPr>
        <w:t>Finance</w:t>
      </w:r>
      <w:r>
        <w:rPr>
          <w:sz w:val="24"/>
          <w:szCs w:val="24"/>
          <w:lang w:val="en-US"/>
        </w:rPr>
        <w:t>, 53(1): 57-82.</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gramStart"/>
      <w:r>
        <w:rPr>
          <w:sz w:val="24"/>
          <w:szCs w:val="24"/>
          <w:lang w:val="en-US"/>
        </w:rPr>
        <w:t xml:space="preserve">Chang, E. and </w:t>
      </w:r>
      <w:proofErr w:type="spellStart"/>
      <w:r>
        <w:rPr>
          <w:sz w:val="24"/>
          <w:szCs w:val="24"/>
          <w:lang w:val="en-US"/>
        </w:rPr>
        <w:t>Lewellen</w:t>
      </w:r>
      <w:proofErr w:type="spellEnd"/>
      <w:r w:rsidRPr="00FD3695">
        <w:rPr>
          <w:sz w:val="24"/>
          <w:szCs w:val="24"/>
          <w:lang w:val="en-US"/>
        </w:rPr>
        <w:t xml:space="preserve"> </w:t>
      </w:r>
      <w:r>
        <w:rPr>
          <w:sz w:val="24"/>
          <w:szCs w:val="24"/>
          <w:lang w:val="en-US"/>
        </w:rPr>
        <w:t>W. (1984) Impact of Size and Flows on Performance for Funds of Hedge Funds.</w:t>
      </w:r>
      <w:proofErr w:type="gramEnd"/>
      <w:r>
        <w:rPr>
          <w:sz w:val="24"/>
          <w:szCs w:val="24"/>
          <w:lang w:val="en-US"/>
        </w:rPr>
        <w:t xml:space="preserve"> </w:t>
      </w:r>
      <w:r w:rsidRPr="00FD3695">
        <w:rPr>
          <w:i/>
          <w:sz w:val="24"/>
          <w:szCs w:val="24"/>
          <w:lang w:val="en-US"/>
        </w:rPr>
        <w:t xml:space="preserve">Journal of </w:t>
      </w:r>
      <w:r>
        <w:rPr>
          <w:i/>
          <w:sz w:val="24"/>
          <w:szCs w:val="24"/>
          <w:lang w:val="en-US"/>
        </w:rPr>
        <w:t>Business</w:t>
      </w:r>
      <w:r>
        <w:rPr>
          <w:sz w:val="24"/>
          <w:szCs w:val="24"/>
          <w:lang w:val="en-US"/>
        </w:rPr>
        <w:t>, 57(1): 57-72.</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spellStart"/>
      <w:r>
        <w:rPr>
          <w:sz w:val="24"/>
          <w:szCs w:val="24"/>
          <w:lang w:val="en-US"/>
        </w:rPr>
        <w:t>Fama</w:t>
      </w:r>
      <w:proofErr w:type="spellEnd"/>
      <w:r>
        <w:rPr>
          <w:sz w:val="24"/>
          <w:szCs w:val="24"/>
          <w:lang w:val="en-US"/>
        </w:rPr>
        <w:t>, E. and French</w:t>
      </w:r>
      <w:r w:rsidRPr="00FD3695">
        <w:rPr>
          <w:sz w:val="24"/>
          <w:szCs w:val="24"/>
          <w:lang w:val="en-US"/>
        </w:rPr>
        <w:t xml:space="preserve"> </w:t>
      </w:r>
      <w:r>
        <w:rPr>
          <w:sz w:val="24"/>
          <w:szCs w:val="24"/>
          <w:lang w:val="en-US"/>
        </w:rPr>
        <w:t xml:space="preserve">K. (1992) The Cross-Section of Expected Stock Returns. </w:t>
      </w:r>
      <w:r w:rsidRPr="00FD3695">
        <w:rPr>
          <w:i/>
          <w:sz w:val="24"/>
          <w:szCs w:val="24"/>
          <w:lang w:val="en-US"/>
        </w:rPr>
        <w:t xml:space="preserve">Journal of </w:t>
      </w:r>
      <w:r>
        <w:rPr>
          <w:i/>
          <w:sz w:val="24"/>
          <w:szCs w:val="24"/>
          <w:lang w:val="en-US"/>
        </w:rPr>
        <w:t>Finance</w:t>
      </w:r>
      <w:r>
        <w:rPr>
          <w:sz w:val="24"/>
          <w:szCs w:val="24"/>
          <w:lang w:val="en-US"/>
        </w:rPr>
        <w:t>, 47(2): 427-465.</w:t>
      </w:r>
    </w:p>
    <w:p w:rsidR="001C68CE" w:rsidRDefault="001C68CE" w:rsidP="001C68CE">
      <w:pPr>
        <w:spacing w:after="0" w:line="480" w:lineRule="auto"/>
        <w:jc w:val="both"/>
        <w:rPr>
          <w:b/>
          <w:sz w:val="28"/>
          <w:szCs w:val="28"/>
          <w:lang w:val="en-US"/>
        </w:rPr>
      </w:pPr>
    </w:p>
    <w:p w:rsidR="001C68CE" w:rsidRDefault="001C68CE" w:rsidP="001C68CE">
      <w:pPr>
        <w:spacing w:after="0" w:line="480" w:lineRule="auto"/>
        <w:jc w:val="both"/>
        <w:rPr>
          <w:sz w:val="24"/>
          <w:szCs w:val="24"/>
          <w:lang w:val="en-US"/>
        </w:rPr>
      </w:pPr>
      <w:proofErr w:type="spellStart"/>
      <w:proofErr w:type="gramStart"/>
      <w:r>
        <w:rPr>
          <w:sz w:val="24"/>
          <w:szCs w:val="24"/>
          <w:lang w:val="en-US"/>
        </w:rPr>
        <w:lastRenderedPageBreak/>
        <w:t>Henriksson</w:t>
      </w:r>
      <w:proofErr w:type="spellEnd"/>
      <w:r>
        <w:rPr>
          <w:sz w:val="24"/>
          <w:szCs w:val="24"/>
          <w:lang w:val="en-US"/>
        </w:rPr>
        <w:t>, R. (1984) Market Timing and Mutual Fund Investment Performance.</w:t>
      </w:r>
      <w:proofErr w:type="gramEnd"/>
      <w:r>
        <w:rPr>
          <w:sz w:val="24"/>
          <w:szCs w:val="24"/>
          <w:lang w:val="en-US"/>
        </w:rPr>
        <w:t xml:space="preserve"> </w:t>
      </w:r>
      <w:r>
        <w:rPr>
          <w:i/>
          <w:sz w:val="24"/>
          <w:szCs w:val="24"/>
          <w:lang w:val="en-US"/>
        </w:rPr>
        <w:t>Journal of Business</w:t>
      </w:r>
      <w:r>
        <w:rPr>
          <w:sz w:val="24"/>
          <w:szCs w:val="24"/>
          <w:lang w:val="en-US"/>
        </w:rPr>
        <w:t>, 57(1): 73-96.</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r>
        <w:rPr>
          <w:sz w:val="24"/>
          <w:szCs w:val="24"/>
          <w:lang w:val="en-US"/>
        </w:rPr>
        <w:t>Jiang, G., Yao</w:t>
      </w:r>
      <w:r w:rsidRPr="00FD3695">
        <w:rPr>
          <w:sz w:val="24"/>
          <w:szCs w:val="24"/>
          <w:lang w:val="en-US"/>
        </w:rPr>
        <w:t xml:space="preserve"> </w:t>
      </w:r>
      <w:r>
        <w:rPr>
          <w:sz w:val="24"/>
          <w:szCs w:val="24"/>
          <w:lang w:val="en-US"/>
        </w:rPr>
        <w:t>T. and Yu</w:t>
      </w:r>
      <w:r w:rsidRPr="00FD3695">
        <w:rPr>
          <w:sz w:val="24"/>
          <w:szCs w:val="24"/>
          <w:lang w:val="en-US"/>
        </w:rPr>
        <w:t xml:space="preserve"> </w:t>
      </w:r>
      <w:r>
        <w:rPr>
          <w:sz w:val="24"/>
          <w:szCs w:val="24"/>
          <w:lang w:val="en-US"/>
        </w:rPr>
        <w:t xml:space="preserve">T. (2007) Do Mutual Funds Time the Market? </w:t>
      </w:r>
      <w:proofErr w:type="gramStart"/>
      <w:r>
        <w:rPr>
          <w:sz w:val="24"/>
          <w:szCs w:val="24"/>
          <w:lang w:val="en-US"/>
        </w:rPr>
        <w:t>Evidence from Portfolio Holdings.</w:t>
      </w:r>
      <w:proofErr w:type="gramEnd"/>
      <w:r>
        <w:rPr>
          <w:sz w:val="24"/>
          <w:szCs w:val="24"/>
          <w:lang w:val="en-US"/>
        </w:rPr>
        <w:t xml:space="preserve"> </w:t>
      </w:r>
      <w:r w:rsidRPr="00FD3695">
        <w:rPr>
          <w:i/>
          <w:sz w:val="24"/>
          <w:szCs w:val="24"/>
          <w:lang w:val="en-US"/>
        </w:rPr>
        <w:t xml:space="preserve">Journal of </w:t>
      </w:r>
      <w:r>
        <w:rPr>
          <w:i/>
          <w:sz w:val="24"/>
          <w:szCs w:val="24"/>
          <w:lang w:val="en-US"/>
        </w:rPr>
        <w:t>Financial Economics</w:t>
      </w:r>
      <w:r>
        <w:rPr>
          <w:sz w:val="24"/>
          <w:szCs w:val="24"/>
          <w:lang w:val="en-US"/>
        </w:rPr>
        <w:t>, 86(3): 724-758.</w:t>
      </w:r>
    </w:p>
    <w:p w:rsidR="001C68CE" w:rsidRDefault="001C68CE" w:rsidP="00900E49">
      <w:pPr>
        <w:spacing w:line="480" w:lineRule="auto"/>
        <w:jc w:val="both"/>
        <w:rPr>
          <w:b/>
          <w:sz w:val="28"/>
          <w:szCs w:val="28"/>
          <w:lang w:val="en-US"/>
        </w:rPr>
      </w:pPr>
    </w:p>
    <w:p w:rsidR="001C68CE" w:rsidRDefault="001C68CE" w:rsidP="001C68CE">
      <w:pPr>
        <w:spacing w:after="0" w:line="480" w:lineRule="auto"/>
        <w:jc w:val="both"/>
        <w:rPr>
          <w:sz w:val="24"/>
          <w:szCs w:val="24"/>
          <w:lang w:val="en-US"/>
        </w:rPr>
      </w:pPr>
      <w:proofErr w:type="spellStart"/>
      <w:r>
        <w:rPr>
          <w:sz w:val="24"/>
          <w:szCs w:val="24"/>
          <w:lang w:val="en-US"/>
        </w:rPr>
        <w:t>Kon</w:t>
      </w:r>
      <w:proofErr w:type="spellEnd"/>
      <w:r>
        <w:rPr>
          <w:sz w:val="24"/>
          <w:szCs w:val="24"/>
          <w:lang w:val="en-US"/>
        </w:rPr>
        <w:t xml:space="preserve">, S. (1983) </w:t>
      </w:r>
      <w:proofErr w:type="gramStart"/>
      <w:r>
        <w:rPr>
          <w:sz w:val="24"/>
          <w:szCs w:val="24"/>
          <w:lang w:val="en-US"/>
        </w:rPr>
        <w:t>The</w:t>
      </w:r>
      <w:proofErr w:type="gramEnd"/>
      <w:r>
        <w:rPr>
          <w:sz w:val="24"/>
          <w:szCs w:val="24"/>
          <w:lang w:val="en-US"/>
        </w:rPr>
        <w:t xml:space="preserve"> Market-Timing Performance of Mutual Fund Managers. </w:t>
      </w:r>
      <w:r>
        <w:rPr>
          <w:i/>
          <w:sz w:val="24"/>
          <w:szCs w:val="24"/>
          <w:lang w:val="en-US"/>
        </w:rPr>
        <w:t>Journal of Business</w:t>
      </w:r>
      <w:r>
        <w:rPr>
          <w:sz w:val="24"/>
          <w:szCs w:val="24"/>
          <w:lang w:val="en-US"/>
        </w:rPr>
        <w:t>, 56(3): 323-347.</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r>
        <w:rPr>
          <w:sz w:val="24"/>
          <w:szCs w:val="24"/>
          <w:lang w:val="en-US"/>
        </w:rPr>
        <w:t xml:space="preserve">Lee, C. and </w:t>
      </w:r>
      <w:proofErr w:type="spellStart"/>
      <w:r>
        <w:rPr>
          <w:sz w:val="24"/>
          <w:szCs w:val="24"/>
          <w:lang w:val="en-US"/>
        </w:rPr>
        <w:t>Rahman</w:t>
      </w:r>
      <w:proofErr w:type="spellEnd"/>
      <w:r w:rsidRPr="00FD3695">
        <w:rPr>
          <w:sz w:val="24"/>
          <w:szCs w:val="24"/>
          <w:lang w:val="en-US"/>
        </w:rPr>
        <w:t xml:space="preserve"> </w:t>
      </w:r>
      <w:r>
        <w:rPr>
          <w:sz w:val="24"/>
          <w:szCs w:val="24"/>
          <w:lang w:val="en-US"/>
        </w:rPr>
        <w:t xml:space="preserve">S. (1990) Market Timing, Selectivity, and Mutual Fund Performance: An Empirical Investigation. </w:t>
      </w:r>
      <w:r w:rsidRPr="00FD3695">
        <w:rPr>
          <w:i/>
          <w:sz w:val="24"/>
          <w:szCs w:val="24"/>
          <w:lang w:val="en-US"/>
        </w:rPr>
        <w:t xml:space="preserve">Journal of </w:t>
      </w:r>
      <w:r>
        <w:rPr>
          <w:i/>
          <w:sz w:val="24"/>
          <w:szCs w:val="24"/>
          <w:lang w:val="en-US"/>
        </w:rPr>
        <w:t>Business</w:t>
      </w:r>
      <w:r>
        <w:rPr>
          <w:sz w:val="24"/>
          <w:szCs w:val="24"/>
          <w:lang w:val="en-US"/>
        </w:rPr>
        <w:t>, 63(2): 261-278.</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spellStart"/>
      <w:r>
        <w:rPr>
          <w:sz w:val="24"/>
          <w:szCs w:val="24"/>
          <w:lang w:val="en-US"/>
        </w:rPr>
        <w:t>Monarcha</w:t>
      </w:r>
      <w:proofErr w:type="spellEnd"/>
      <w:r>
        <w:rPr>
          <w:sz w:val="24"/>
          <w:szCs w:val="24"/>
          <w:lang w:val="en-US"/>
        </w:rPr>
        <w:t xml:space="preserve">, G.  (2009)  </w:t>
      </w:r>
      <w:proofErr w:type="gramStart"/>
      <w:r>
        <w:rPr>
          <w:sz w:val="24"/>
          <w:szCs w:val="24"/>
          <w:lang w:val="en-US"/>
        </w:rPr>
        <w:t>A</w:t>
      </w:r>
      <w:proofErr w:type="gramEnd"/>
      <w:r>
        <w:rPr>
          <w:sz w:val="24"/>
          <w:szCs w:val="24"/>
          <w:lang w:val="en-US"/>
        </w:rPr>
        <w:t xml:space="preserve"> Dynamic Style Analysis Model for Hedge Funds. </w:t>
      </w:r>
      <w:r>
        <w:rPr>
          <w:i/>
          <w:sz w:val="24"/>
          <w:szCs w:val="24"/>
          <w:lang w:val="en-US"/>
        </w:rPr>
        <w:t xml:space="preserve">SSRN Working Paper, </w:t>
      </w:r>
      <w:r>
        <w:rPr>
          <w:sz w:val="24"/>
          <w:szCs w:val="24"/>
          <w:lang w:val="en-US"/>
        </w:rPr>
        <w:t>October.</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r>
        <w:rPr>
          <w:sz w:val="24"/>
          <w:szCs w:val="24"/>
          <w:lang w:val="en-US"/>
        </w:rPr>
        <w:t xml:space="preserve">Pastor, L. and </w:t>
      </w:r>
      <w:proofErr w:type="spellStart"/>
      <w:r>
        <w:rPr>
          <w:sz w:val="24"/>
          <w:szCs w:val="24"/>
          <w:lang w:val="en-US"/>
        </w:rPr>
        <w:t>Stambaugh</w:t>
      </w:r>
      <w:proofErr w:type="spellEnd"/>
      <w:r w:rsidRPr="00FD3695">
        <w:rPr>
          <w:sz w:val="24"/>
          <w:szCs w:val="24"/>
          <w:lang w:val="en-US"/>
        </w:rPr>
        <w:t xml:space="preserve"> </w:t>
      </w:r>
      <w:r>
        <w:rPr>
          <w:sz w:val="24"/>
          <w:szCs w:val="24"/>
          <w:lang w:val="en-US"/>
        </w:rPr>
        <w:t xml:space="preserve">R. (2002) Do Mutual Fund Performance and Seemingly Unrelated Assets. </w:t>
      </w:r>
      <w:r w:rsidRPr="00FD3695">
        <w:rPr>
          <w:i/>
          <w:sz w:val="24"/>
          <w:szCs w:val="24"/>
          <w:lang w:val="en-US"/>
        </w:rPr>
        <w:t xml:space="preserve">Journal of </w:t>
      </w:r>
      <w:r>
        <w:rPr>
          <w:i/>
          <w:sz w:val="24"/>
          <w:szCs w:val="24"/>
          <w:lang w:val="en-US"/>
        </w:rPr>
        <w:t>Financial Economics</w:t>
      </w:r>
      <w:r>
        <w:rPr>
          <w:sz w:val="24"/>
          <w:szCs w:val="24"/>
          <w:lang w:val="en-US"/>
        </w:rPr>
        <w:t>, 63(3): 315-349.</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gramStart"/>
      <w:r>
        <w:rPr>
          <w:sz w:val="24"/>
          <w:szCs w:val="24"/>
          <w:lang w:val="en-US"/>
        </w:rPr>
        <w:t xml:space="preserve">Pastor, L. and </w:t>
      </w:r>
      <w:proofErr w:type="spellStart"/>
      <w:r>
        <w:rPr>
          <w:sz w:val="24"/>
          <w:szCs w:val="24"/>
          <w:lang w:val="en-US"/>
        </w:rPr>
        <w:t>Stambaugh</w:t>
      </w:r>
      <w:proofErr w:type="spellEnd"/>
      <w:r w:rsidRPr="00FD3695">
        <w:rPr>
          <w:sz w:val="24"/>
          <w:szCs w:val="24"/>
          <w:lang w:val="en-US"/>
        </w:rPr>
        <w:t xml:space="preserve"> </w:t>
      </w:r>
      <w:r>
        <w:rPr>
          <w:sz w:val="24"/>
          <w:szCs w:val="24"/>
          <w:lang w:val="en-US"/>
        </w:rPr>
        <w:t>R. (2003) Liquidity Risk and Expected Stock Returns.</w:t>
      </w:r>
      <w:proofErr w:type="gramEnd"/>
      <w:r>
        <w:rPr>
          <w:sz w:val="24"/>
          <w:szCs w:val="24"/>
          <w:lang w:val="en-US"/>
        </w:rPr>
        <w:t xml:space="preserve"> </w:t>
      </w:r>
      <w:r w:rsidRPr="00FD3695">
        <w:rPr>
          <w:i/>
          <w:sz w:val="24"/>
          <w:szCs w:val="24"/>
          <w:lang w:val="en-US"/>
        </w:rPr>
        <w:t xml:space="preserve">Journal of </w:t>
      </w:r>
      <w:r>
        <w:rPr>
          <w:i/>
          <w:sz w:val="24"/>
          <w:szCs w:val="24"/>
          <w:lang w:val="en-US"/>
        </w:rPr>
        <w:t>Political Economy</w:t>
      </w:r>
      <w:r>
        <w:rPr>
          <w:sz w:val="24"/>
          <w:szCs w:val="24"/>
          <w:lang w:val="en-US"/>
        </w:rPr>
        <w:t>, 111(3): 642-685.</w:t>
      </w:r>
    </w:p>
    <w:p w:rsidR="001C68CE" w:rsidRDefault="001C68CE" w:rsidP="001C68CE">
      <w:pPr>
        <w:spacing w:after="0" w:line="480" w:lineRule="auto"/>
        <w:jc w:val="both"/>
        <w:rPr>
          <w:sz w:val="24"/>
          <w:szCs w:val="24"/>
          <w:lang w:val="en-US"/>
        </w:rPr>
      </w:pPr>
    </w:p>
    <w:p w:rsidR="001C68CE" w:rsidRDefault="001C68CE" w:rsidP="001C68CE">
      <w:pPr>
        <w:spacing w:after="0" w:line="480" w:lineRule="auto"/>
        <w:jc w:val="both"/>
        <w:rPr>
          <w:sz w:val="24"/>
          <w:szCs w:val="24"/>
          <w:lang w:val="en-US"/>
        </w:rPr>
      </w:pPr>
      <w:proofErr w:type="spellStart"/>
      <w:proofErr w:type="gramStart"/>
      <w:r>
        <w:rPr>
          <w:sz w:val="24"/>
          <w:szCs w:val="24"/>
          <w:lang w:val="en-US"/>
        </w:rPr>
        <w:t>Swinkels</w:t>
      </w:r>
      <w:proofErr w:type="spellEnd"/>
      <w:r>
        <w:rPr>
          <w:sz w:val="24"/>
          <w:szCs w:val="24"/>
          <w:lang w:val="en-US"/>
        </w:rPr>
        <w:t xml:space="preserve">, L. and Van </w:t>
      </w:r>
      <w:proofErr w:type="spellStart"/>
      <w:r>
        <w:rPr>
          <w:sz w:val="24"/>
          <w:szCs w:val="24"/>
          <w:lang w:val="en-US"/>
        </w:rPr>
        <w:t>Der</w:t>
      </w:r>
      <w:proofErr w:type="spellEnd"/>
      <w:r>
        <w:rPr>
          <w:sz w:val="24"/>
          <w:szCs w:val="24"/>
          <w:lang w:val="en-US"/>
        </w:rPr>
        <w:t xml:space="preserve"> </w:t>
      </w:r>
      <w:proofErr w:type="spellStart"/>
      <w:r>
        <w:rPr>
          <w:sz w:val="24"/>
          <w:szCs w:val="24"/>
          <w:lang w:val="en-US"/>
        </w:rPr>
        <w:t>Sluis</w:t>
      </w:r>
      <w:proofErr w:type="spellEnd"/>
      <w:r w:rsidRPr="00FD3695">
        <w:rPr>
          <w:sz w:val="24"/>
          <w:szCs w:val="24"/>
          <w:lang w:val="en-US"/>
        </w:rPr>
        <w:t xml:space="preserve"> </w:t>
      </w:r>
      <w:r>
        <w:rPr>
          <w:sz w:val="24"/>
          <w:szCs w:val="24"/>
          <w:lang w:val="en-US"/>
        </w:rPr>
        <w:t>P. (2006) Return-Based Style Analysis with Time-Varying Exposures.</w:t>
      </w:r>
      <w:proofErr w:type="gramEnd"/>
      <w:r>
        <w:rPr>
          <w:sz w:val="24"/>
          <w:szCs w:val="24"/>
          <w:lang w:val="en-US"/>
        </w:rPr>
        <w:t xml:space="preserve"> </w:t>
      </w:r>
      <w:r>
        <w:rPr>
          <w:i/>
          <w:sz w:val="24"/>
          <w:szCs w:val="24"/>
          <w:lang w:val="en-US"/>
        </w:rPr>
        <w:t>European Journal of Finance</w:t>
      </w:r>
      <w:r>
        <w:rPr>
          <w:sz w:val="24"/>
          <w:szCs w:val="24"/>
          <w:lang w:val="en-US"/>
        </w:rPr>
        <w:t>, 12(6): 529-552.</w:t>
      </w:r>
    </w:p>
    <w:p w:rsidR="00DF5DC2" w:rsidRPr="008B0FF0" w:rsidRDefault="00240417" w:rsidP="001C68CE">
      <w:pPr>
        <w:spacing w:after="0" w:line="480" w:lineRule="auto"/>
        <w:jc w:val="both"/>
        <w:rPr>
          <w:sz w:val="24"/>
          <w:szCs w:val="24"/>
          <w:lang w:val="en-US"/>
        </w:rPr>
      </w:pPr>
      <w:proofErr w:type="spellStart"/>
      <w:r>
        <w:rPr>
          <w:sz w:val="24"/>
          <w:szCs w:val="24"/>
          <w:lang w:val="en-US"/>
        </w:rPr>
        <w:lastRenderedPageBreak/>
        <w:t>Treynor</w:t>
      </w:r>
      <w:proofErr w:type="spellEnd"/>
      <w:r>
        <w:rPr>
          <w:sz w:val="24"/>
          <w:szCs w:val="24"/>
          <w:lang w:val="en-US"/>
        </w:rPr>
        <w:t>, J.</w:t>
      </w:r>
      <w:r w:rsidR="00BE2CF8">
        <w:rPr>
          <w:sz w:val="24"/>
          <w:szCs w:val="24"/>
          <w:lang w:val="en-US"/>
        </w:rPr>
        <w:t xml:space="preserve"> and </w:t>
      </w:r>
      <w:proofErr w:type="spellStart"/>
      <w:r>
        <w:rPr>
          <w:sz w:val="24"/>
          <w:szCs w:val="24"/>
          <w:lang w:val="en-US"/>
        </w:rPr>
        <w:t>Mazuy</w:t>
      </w:r>
      <w:proofErr w:type="spellEnd"/>
      <w:r w:rsidR="00BE2CF8" w:rsidRPr="00FD3695">
        <w:rPr>
          <w:sz w:val="24"/>
          <w:szCs w:val="24"/>
          <w:lang w:val="en-US"/>
        </w:rPr>
        <w:t xml:space="preserve"> </w:t>
      </w:r>
      <w:r>
        <w:rPr>
          <w:sz w:val="24"/>
          <w:szCs w:val="24"/>
          <w:lang w:val="en-US"/>
        </w:rPr>
        <w:t>K. (1966</w:t>
      </w:r>
      <w:r w:rsidR="00BE2CF8">
        <w:rPr>
          <w:sz w:val="24"/>
          <w:szCs w:val="24"/>
          <w:lang w:val="en-US"/>
        </w:rPr>
        <w:t xml:space="preserve">) </w:t>
      </w:r>
      <w:r>
        <w:rPr>
          <w:sz w:val="24"/>
          <w:szCs w:val="24"/>
          <w:lang w:val="en-US"/>
        </w:rPr>
        <w:t>Can Mutual Funds Outguess the Market?</w:t>
      </w:r>
      <w:r w:rsidR="00BE2CF8">
        <w:rPr>
          <w:sz w:val="24"/>
          <w:szCs w:val="24"/>
          <w:lang w:val="en-US"/>
        </w:rPr>
        <w:t xml:space="preserve"> </w:t>
      </w:r>
      <w:r>
        <w:rPr>
          <w:i/>
          <w:sz w:val="24"/>
          <w:szCs w:val="24"/>
          <w:lang w:val="en-US"/>
        </w:rPr>
        <w:t>Harvard Business Review</w:t>
      </w:r>
      <w:r>
        <w:rPr>
          <w:sz w:val="24"/>
          <w:szCs w:val="24"/>
          <w:lang w:val="en-US"/>
        </w:rPr>
        <w:t>, 44(4</w:t>
      </w:r>
      <w:r w:rsidR="00BE2CF8">
        <w:rPr>
          <w:sz w:val="24"/>
          <w:szCs w:val="24"/>
          <w:lang w:val="en-US"/>
        </w:rPr>
        <w:t xml:space="preserve">): </w:t>
      </w:r>
      <w:r>
        <w:rPr>
          <w:sz w:val="24"/>
          <w:szCs w:val="24"/>
          <w:lang w:val="en-US"/>
        </w:rPr>
        <w:t>131-136</w:t>
      </w:r>
      <w:r w:rsidR="00BE2CF8">
        <w:rPr>
          <w:sz w:val="24"/>
          <w:szCs w:val="24"/>
          <w:lang w:val="en-US"/>
        </w:rPr>
        <w:t>.</w:t>
      </w:r>
    </w:p>
    <w:sectPr w:rsidR="00DF5DC2" w:rsidRPr="008B0FF0" w:rsidSect="00BD11D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CF8" w:rsidRDefault="00BE2CF8" w:rsidP="00802114">
      <w:pPr>
        <w:spacing w:after="0" w:line="240" w:lineRule="auto"/>
      </w:pPr>
      <w:r>
        <w:separator/>
      </w:r>
    </w:p>
  </w:endnote>
  <w:endnote w:type="continuationSeparator" w:id="0">
    <w:p w:rsidR="00BE2CF8" w:rsidRDefault="00BE2CF8" w:rsidP="00802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CF8" w:rsidRDefault="00BE2CF8" w:rsidP="00802114">
      <w:pPr>
        <w:spacing w:after="0" w:line="240" w:lineRule="auto"/>
      </w:pPr>
      <w:r>
        <w:separator/>
      </w:r>
    </w:p>
  </w:footnote>
  <w:footnote w:type="continuationSeparator" w:id="0">
    <w:p w:rsidR="00BE2CF8" w:rsidRDefault="00BE2CF8" w:rsidP="00802114">
      <w:pPr>
        <w:spacing w:after="0" w:line="240" w:lineRule="auto"/>
      </w:pPr>
      <w:r>
        <w:continuationSeparator/>
      </w:r>
    </w:p>
  </w:footnote>
  <w:footnote w:id="1">
    <w:p w:rsidR="00BE2CF8" w:rsidRPr="00644953" w:rsidRDefault="00BE2CF8" w:rsidP="00E92DD1">
      <w:pPr>
        <w:pStyle w:val="Notedebasdepage"/>
        <w:jc w:val="both"/>
        <w:rPr>
          <w:lang w:val="en-US"/>
        </w:rPr>
      </w:pPr>
      <w:r w:rsidRPr="00C632BF">
        <w:rPr>
          <w:rStyle w:val="Appelnotedebasdep"/>
        </w:rPr>
        <w:footnoteRef/>
      </w:r>
      <w:r>
        <w:rPr>
          <w:lang w:val="en-CA"/>
        </w:rPr>
        <w:t xml:space="preserve"> </w:t>
      </w:r>
      <w:r w:rsidRPr="00C65D2E">
        <w:rPr>
          <w:lang w:val="en-CA"/>
        </w:rPr>
        <w:t>Head of asset management solutions at Gambit Financial Solutions SA and KBL Assistant professor at HEC-Managem</w:t>
      </w:r>
      <w:r>
        <w:rPr>
          <w:lang w:val="en-CA"/>
        </w:rPr>
        <w:t xml:space="preserve">ent School, University of Liège. </w:t>
      </w:r>
      <w:r w:rsidRPr="00050402">
        <w:rPr>
          <w:b/>
          <w:lang w:val="en-US"/>
        </w:rPr>
        <w:t>Address</w:t>
      </w:r>
      <w:r w:rsidRPr="00050402">
        <w:rPr>
          <w:lang w:val="en-US"/>
        </w:rPr>
        <w:t xml:space="preserve">: rue Louvrex, 14 (N1) - 4000 Liège, BELGIUM. </w:t>
      </w:r>
      <w:r w:rsidRPr="00BE3AB1">
        <w:rPr>
          <w:b/>
          <w:lang w:val="en-US"/>
        </w:rPr>
        <w:t>Tel</w:t>
      </w:r>
      <w:r w:rsidRPr="00BE3AB1">
        <w:rPr>
          <w:lang w:val="en-US"/>
        </w:rPr>
        <w:t>: +32 4 232 7428.</w:t>
      </w:r>
      <w:r>
        <w:rPr>
          <w:b/>
          <w:lang w:val="en-US"/>
        </w:rPr>
        <w:t xml:space="preserve"> </w:t>
      </w:r>
      <w:r>
        <w:rPr>
          <w:lang w:val="en-US"/>
        </w:rPr>
        <w:t xml:space="preserve"> </w:t>
      </w:r>
      <w:r w:rsidRPr="00050402">
        <w:rPr>
          <w:b/>
          <w:lang w:val="en-US"/>
        </w:rPr>
        <w:t>E-mail</w:t>
      </w:r>
      <w:r w:rsidRPr="00050402">
        <w:rPr>
          <w:lang w:val="en-US"/>
        </w:rPr>
        <w:t xml:space="preserve">: </w:t>
      </w:r>
      <w:hyperlink r:id="rId1" w:history="1">
        <w:r w:rsidRPr="00E02494">
          <w:rPr>
            <w:rStyle w:val="Lienhypertexte"/>
            <w:lang w:val="en-US"/>
          </w:rPr>
          <w:t>l.bodson@gambit-finance.com</w:t>
        </w:r>
      </w:hyperlink>
      <w:r w:rsidRPr="00E02494">
        <w:rPr>
          <w:lang w:val="en-US"/>
        </w:rPr>
        <w:t>.</w:t>
      </w:r>
    </w:p>
  </w:footnote>
  <w:footnote w:id="2">
    <w:p w:rsidR="00BE2CF8" w:rsidRPr="00367524" w:rsidRDefault="00BE2CF8" w:rsidP="00E92DD1">
      <w:pPr>
        <w:pStyle w:val="Notedebasdepage"/>
        <w:jc w:val="both"/>
        <w:rPr>
          <w:lang w:val="en-US"/>
        </w:rPr>
      </w:pPr>
      <w:r>
        <w:rPr>
          <w:rStyle w:val="Appelnotedebasdep"/>
        </w:rPr>
        <w:footnoteRef/>
      </w:r>
      <w:r w:rsidRPr="00367524">
        <w:rPr>
          <w:lang w:val="en-US"/>
        </w:rPr>
        <w:t xml:space="preserve"> </w:t>
      </w:r>
      <w:proofErr w:type="gramStart"/>
      <w:r>
        <w:rPr>
          <w:lang w:val="en-US"/>
        </w:rPr>
        <w:t xml:space="preserve">KBL research assistant at </w:t>
      </w:r>
      <w:r>
        <w:rPr>
          <w:lang w:val="en-CA"/>
        </w:rPr>
        <w:t>HEC-</w:t>
      </w:r>
      <w:r w:rsidRPr="00AB4CB5">
        <w:rPr>
          <w:lang w:val="en-CA"/>
        </w:rPr>
        <w:t xml:space="preserve"> </w:t>
      </w:r>
      <w:r w:rsidRPr="00C65D2E">
        <w:rPr>
          <w:lang w:val="en-CA"/>
        </w:rPr>
        <w:t>Managem</w:t>
      </w:r>
      <w:r>
        <w:rPr>
          <w:lang w:val="en-CA"/>
        </w:rPr>
        <w:t xml:space="preserve">ent School, University of </w:t>
      </w:r>
      <w:proofErr w:type="spellStart"/>
      <w:r>
        <w:rPr>
          <w:lang w:val="en-CA"/>
        </w:rPr>
        <w:t>Liège</w:t>
      </w:r>
      <w:proofErr w:type="spellEnd"/>
      <w:r>
        <w:rPr>
          <w:lang w:val="en-CA"/>
        </w:rPr>
        <w:t>.</w:t>
      </w:r>
      <w:proofErr w:type="gramEnd"/>
      <w:r>
        <w:rPr>
          <w:lang w:val="en-CA"/>
        </w:rPr>
        <w:t xml:space="preserve"> </w:t>
      </w:r>
      <w:r w:rsidRPr="00050402">
        <w:rPr>
          <w:b/>
          <w:lang w:val="en-US"/>
        </w:rPr>
        <w:t>Address</w:t>
      </w:r>
      <w:r w:rsidRPr="00050402">
        <w:rPr>
          <w:lang w:val="en-US"/>
        </w:rPr>
        <w:t xml:space="preserve">: rue </w:t>
      </w:r>
      <w:proofErr w:type="spellStart"/>
      <w:r w:rsidRPr="00050402">
        <w:rPr>
          <w:lang w:val="en-US"/>
        </w:rPr>
        <w:t>Louvrex</w:t>
      </w:r>
      <w:proofErr w:type="spellEnd"/>
      <w:r w:rsidRPr="00050402">
        <w:rPr>
          <w:lang w:val="en-US"/>
        </w:rPr>
        <w:t xml:space="preserve">, 14 (N1) - 4000 </w:t>
      </w:r>
      <w:proofErr w:type="spellStart"/>
      <w:r w:rsidRPr="00050402">
        <w:rPr>
          <w:lang w:val="en-US"/>
        </w:rPr>
        <w:t>Liège</w:t>
      </w:r>
      <w:proofErr w:type="spellEnd"/>
      <w:r w:rsidRPr="00050402">
        <w:rPr>
          <w:lang w:val="en-US"/>
        </w:rPr>
        <w:t xml:space="preserve">, BELGIUM. </w:t>
      </w:r>
      <w:r w:rsidRPr="00BE3AB1">
        <w:rPr>
          <w:b/>
          <w:lang w:val="en-US"/>
        </w:rPr>
        <w:t>Tel</w:t>
      </w:r>
      <w:r w:rsidRPr="00BE3AB1">
        <w:rPr>
          <w:lang w:val="en-US"/>
        </w:rPr>
        <w:t>: +32 4 232 74</w:t>
      </w:r>
      <w:r>
        <w:rPr>
          <w:lang w:val="en-US"/>
        </w:rPr>
        <w:t>32</w:t>
      </w:r>
      <w:r w:rsidRPr="00BE3AB1">
        <w:rPr>
          <w:lang w:val="en-US"/>
        </w:rPr>
        <w:t>.</w:t>
      </w:r>
      <w:r>
        <w:rPr>
          <w:lang w:val="en-CA"/>
        </w:rPr>
        <w:t xml:space="preserve"> </w:t>
      </w:r>
      <w:r w:rsidRPr="00B955E7">
        <w:rPr>
          <w:b/>
          <w:lang w:val="en-CA"/>
        </w:rPr>
        <w:t>E-mail</w:t>
      </w:r>
      <w:r>
        <w:rPr>
          <w:lang w:val="en-CA"/>
        </w:rPr>
        <w:t xml:space="preserve">: </w:t>
      </w:r>
      <w:hyperlink r:id="rId2" w:history="1">
        <w:r w:rsidRPr="00B955E7">
          <w:rPr>
            <w:rStyle w:val="Lienhypertexte"/>
            <w:lang w:val="en-US"/>
          </w:rPr>
          <w:t>laurent.cavenaile@ulg.ac.be</w:t>
        </w:r>
      </w:hyperlink>
      <w:r w:rsidRPr="00050402">
        <w:rPr>
          <w:lang w:val="en-US"/>
        </w:rPr>
        <w:t>.</w:t>
      </w:r>
    </w:p>
  </w:footnote>
  <w:footnote w:id="3">
    <w:p w:rsidR="00BE2CF8" w:rsidRPr="004230D8" w:rsidRDefault="00BE2CF8" w:rsidP="00E92DD1">
      <w:pPr>
        <w:pStyle w:val="Notedebasdepage"/>
        <w:jc w:val="both"/>
        <w:rPr>
          <w:sz w:val="22"/>
          <w:szCs w:val="22"/>
          <w:lang w:val="fr-BE"/>
        </w:rPr>
      </w:pPr>
      <w:r w:rsidRPr="00C632BF">
        <w:rPr>
          <w:rStyle w:val="Appelnotedebasdep"/>
        </w:rPr>
        <w:footnoteRef/>
      </w:r>
      <w:r w:rsidRPr="00C632BF">
        <w:rPr>
          <w:lang w:val="en-CA"/>
        </w:rPr>
        <w:t xml:space="preserve"> </w:t>
      </w:r>
      <w:r>
        <w:rPr>
          <w:lang w:val="en-CA"/>
        </w:rPr>
        <w:t>Full P</w:t>
      </w:r>
      <w:r w:rsidRPr="00C632BF">
        <w:rPr>
          <w:lang w:val="en-CA"/>
        </w:rPr>
        <w:t>rofessor o</w:t>
      </w:r>
      <w:r>
        <w:rPr>
          <w:lang w:val="en-CA"/>
        </w:rPr>
        <w:t xml:space="preserve">f financial management, Chair Department of Finance, Accounting and Law at HEC- University of Liège, KBL Chair Holder in Fund Industry. </w:t>
      </w:r>
      <w:proofErr w:type="spellStart"/>
      <w:r w:rsidRPr="004230D8">
        <w:rPr>
          <w:b/>
          <w:lang w:val="fr-BE"/>
        </w:rPr>
        <w:t>Address</w:t>
      </w:r>
      <w:proofErr w:type="spellEnd"/>
      <w:r w:rsidRPr="004230D8">
        <w:rPr>
          <w:lang w:val="fr-BE"/>
        </w:rPr>
        <w:t xml:space="preserve">: rue </w:t>
      </w:r>
      <w:proofErr w:type="spellStart"/>
      <w:r w:rsidRPr="004230D8">
        <w:rPr>
          <w:lang w:val="fr-BE"/>
        </w:rPr>
        <w:t>Louvrex</w:t>
      </w:r>
      <w:proofErr w:type="spellEnd"/>
      <w:r w:rsidRPr="004230D8">
        <w:rPr>
          <w:lang w:val="fr-BE"/>
        </w:rPr>
        <w:t xml:space="preserve">, 14 (N1) - 4000 Liège, BELGIUM. </w:t>
      </w:r>
      <w:r w:rsidRPr="004230D8">
        <w:rPr>
          <w:b/>
          <w:lang w:val="fr-BE"/>
        </w:rPr>
        <w:t>Tel</w:t>
      </w:r>
      <w:r w:rsidRPr="004230D8">
        <w:rPr>
          <w:lang w:val="fr-BE"/>
        </w:rPr>
        <w:t xml:space="preserve">: +32 4 232 7305. </w:t>
      </w:r>
      <w:r w:rsidRPr="004230D8">
        <w:rPr>
          <w:b/>
          <w:lang w:val="fr-BE"/>
        </w:rPr>
        <w:t>E-mail</w:t>
      </w:r>
      <w:r w:rsidRPr="004230D8">
        <w:rPr>
          <w:lang w:val="fr-BE"/>
        </w:rPr>
        <w:t xml:space="preserve">: </w:t>
      </w:r>
      <w:hyperlink r:id="rId3" w:history="1">
        <w:r w:rsidRPr="004230D8">
          <w:rPr>
            <w:rStyle w:val="Lienhypertexte"/>
            <w:lang w:val="fr-BE"/>
          </w:rPr>
          <w:t>danielle.sougne@ulg.ac.be</w:t>
        </w:r>
      </w:hyperlink>
      <w:r w:rsidRPr="004230D8">
        <w:rPr>
          <w:lang w:val="fr-BE"/>
        </w:rPr>
        <w:t>.</w:t>
      </w:r>
    </w:p>
  </w:footnote>
  <w:footnote w:id="4">
    <w:p w:rsidR="00BE2CF8" w:rsidRPr="00B841A4" w:rsidRDefault="00BE2CF8">
      <w:pPr>
        <w:pStyle w:val="Notedebasdepage"/>
        <w:rPr>
          <w:lang w:val="en-US"/>
        </w:rPr>
      </w:pPr>
      <w:r>
        <w:rPr>
          <w:rStyle w:val="Appelnotedebasdep"/>
        </w:rPr>
        <w:footnoteRef/>
      </w:r>
      <w:r w:rsidRPr="00B841A4">
        <w:rPr>
          <w:lang w:val="en-US"/>
        </w:rPr>
        <w:t xml:space="preserve"> Kenneth French’s </w:t>
      </w:r>
      <w:r>
        <w:rPr>
          <w:lang w:val="en-US"/>
        </w:rPr>
        <w:t>database is available online at:  h</w:t>
      </w:r>
      <w:r w:rsidRPr="00B841A4">
        <w:rPr>
          <w:lang w:val="en-US"/>
        </w:rPr>
        <w:t>ttp://mba.tuck.dartmouth.edu/pages/faculty/ken.french/data_library.html</w:t>
      </w:r>
    </w:p>
  </w:footnote>
  <w:footnote w:id="5">
    <w:p w:rsidR="00BE2CF8" w:rsidRPr="00D94212" w:rsidRDefault="00BE2CF8">
      <w:pPr>
        <w:pStyle w:val="Notedebasdepage"/>
        <w:rPr>
          <w:lang w:val="en-US"/>
        </w:rPr>
      </w:pPr>
      <w:r>
        <w:rPr>
          <w:rStyle w:val="Appelnotedebasdep"/>
        </w:rPr>
        <w:footnoteRef/>
      </w:r>
      <w:r>
        <w:rPr>
          <w:lang w:val="en-US"/>
        </w:rPr>
        <w:t xml:space="preserve"> U</w:t>
      </w:r>
      <w:r w:rsidRPr="00D94212">
        <w:rPr>
          <w:lang w:val="en-US"/>
        </w:rPr>
        <w:t xml:space="preserve">pdated series of Pastor and </w:t>
      </w:r>
      <w:proofErr w:type="spellStart"/>
      <w:r w:rsidRPr="00D94212">
        <w:rPr>
          <w:lang w:val="en-US"/>
        </w:rPr>
        <w:t>Stambaugh</w:t>
      </w:r>
      <w:proofErr w:type="spellEnd"/>
      <w:r w:rsidRPr="00D94212">
        <w:rPr>
          <w:lang w:val="en-US"/>
        </w:rPr>
        <w:t xml:space="preserve"> (2003) </w:t>
      </w:r>
      <w:r>
        <w:rPr>
          <w:lang w:val="en-US"/>
        </w:rPr>
        <w:t xml:space="preserve">aggregate </w:t>
      </w:r>
      <w:r w:rsidRPr="00D94212">
        <w:rPr>
          <w:lang w:val="en-US"/>
        </w:rPr>
        <w:t>li</w:t>
      </w:r>
      <w:r>
        <w:rPr>
          <w:lang w:val="en-US"/>
        </w:rPr>
        <w:t xml:space="preserve">quidity measure is available online at: </w:t>
      </w:r>
      <w:r w:rsidRPr="00D94212">
        <w:rPr>
          <w:lang w:val="en-US"/>
        </w:rPr>
        <w:t>http://finance.wharton.upenn.edu/~stambaug/</w:t>
      </w:r>
      <w:r>
        <w:rPr>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F27C1"/>
    <w:multiLevelType w:val="multilevel"/>
    <w:tmpl w:val="719CD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21A51CF"/>
    <w:multiLevelType w:val="hybridMultilevel"/>
    <w:tmpl w:val="3B34BF92"/>
    <w:lvl w:ilvl="0" w:tplc="3B827E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oNotTrackMoves/>
  <w:defaultTabStop w:val="708"/>
  <w:hyphenationZone w:val="425"/>
  <w:characterSpacingControl w:val="doNotCompress"/>
  <w:footnotePr>
    <w:footnote w:id="-1"/>
    <w:footnote w:id="0"/>
  </w:footnotePr>
  <w:endnotePr>
    <w:endnote w:id="-1"/>
    <w:endnote w:id="0"/>
  </w:endnotePr>
  <w:compat/>
  <w:rsids>
    <w:rsidRoot w:val="00802114"/>
    <w:rsid w:val="00007352"/>
    <w:rsid w:val="0002388F"/>
    <w:rsid w:val="00033215"/>
    <w:rsid w:val="000346DD"/>
    <w:rsid w:val="00046769"/>
    <w:rsid w:val="00046DE8"/>
    <w:rsid w:val="00047D05"/>
    <w:rsid w:val="00053782"/>
    <w:rsid w:val="00053E36"/>
    <w:rsid w:val="000553A3"/>
    <w:rsid w:val="00056D79"/>
    <w:rsid w:val="00061B1F"/>
    <w:rsid w:val="00067260"/>
    <w:rsid w:val="00075E61"/>
    <w:rsid w:val="000A5991"/>
    <w:rsid w:val="000B1152"/>
    <w:rsid w:val="000B2508"/>
    <w:rsid w:val="000B2FC4"/>
    <w:rsid w:val="000B3A5A"/>
    <w:rsid w:val="000B615C"/>
    <w:rsid w:val="000B664A"/>
    <w:rsid w:val="000C7BAB"/>
    <w:rsid w:val="000D1DA6"/>
    <w:rsid w:val="000D7243"/>
    <w:rsid w:val="000E4545"/>
    <w:rsid w:val="000E6ACF"/>
    <w:rsid w:val="000F00DE"/>
    <w:rsid w:val="000F01E6"/>
    <w:rsid w:val="000F1119"/>
    <w:rsid w:val="000F25C1"/>
    <w:rsid w:val="000F2C11"/>
    <w:rsid w:val="00104EBE"/>
    <w:rsid w:val="001160F3"/>
    <w:rsid w:val="00117506"/>
    <w:rsid w:val="00121041"/>
    <w:rsid w:val="001339A0"/>
    <w:rsid w:val="001512EA"/>
    <w:rsid w:val="00153025"/>
    <w:rsid w:val="00162DDA"/>
    <w:rsid w:val="00167213"/>
    <w:rsid w:val="00167860"/>
    <w:rsid w:val="00170F3D"/>
    <w:rsid w:val="00172D04"/>
    <w:rsid w:val="00174A2B"/>
    <w:rsid w:val="0017567F"/>
    <w:rsid w:val="001849C2"/>
    <w:rsid w:val="00187C38"/>
    <w:rsid w:val="00191616"/>
    <w:rsid w:val="00195345"/>
    <w:rsid w:val="0019549D"/>
    <w:rsid w:val="001A2F4A"/>
    <w:rsid w:val="001B07D1"/>
    <w:rsid w:val="001B1EE9"/>
    <w:rsid w:val="001B30BB"/>
    <w:rsid w:val="001C21E6"/>
    <w:rsid w:val="001C584D"/>
    <w:rsid w:val="001C68CE"/>
    <w:rsid w:val="001C7784"/>
    <w:rsid w:val="001C78EE"/>
    <w:rsid w:val="001D25FB"/>
    <w:rsid w:val="001D614F"/>
    <w:rsid w:val="001D7942"/>
    <w:rsid w:val="001E23DE"/>
    <w:rsid w:val="001E61A5"/>
    <w:rsid w:val="001F6B50"/>
    <w:rsid w:val="001F6ED5"/>
    <w:rsid w:val="002041F8"/>
    <w:rsid w:val="002058A6"/>
    <w:rsid w:val="00212F7E"/>
    <w:rsid w:val="00214473"/>
    <w:rsid w:val="00216EC3"/>
    <w:rsid w:val="00225A97"/>
    <w:rsid w:val="002276A4"/>
    <w:rsid w:val="00227CED"/>
    <w:rsid w:val="00227FDA"/>
    <w:rsid w:val="00231902"/>
    <w:rsid w:val="00236609"/>
    <w:rsid w:val="00240417"/>
    <w:rsid w:val="00240681"/>
    <w:rsid w:val="00250F7A"/>
    <w:rsid w:val="002552E5"/>
    <w:rsid w:val="00255AB8"/>
    <w:rsid w:val="0026652C"/>
    <w:rsid w:val="0027142F"/>
    <w:rsid w:val="002740E5"/>
    <w:rsid w:val="00277452"/>
    <w:rsid w:val="0028147E"/>
    <w:rsid w:val="00281EAA"/>
    <w:rsid w:val="00286618"/>
    <w:rsid w:val="002911FC"/>
    <w:rsid w:val="00291532"/>
    <w:rsid w:val="002940C7"/>
    <w:rsid w:val="00294557"/>
    <w:rsid w:val="002A6134"/>
    <w:rsid w:val="002B0B29"/>
    <w:rsid w:val="002B16D1"/>
    <w:rsid w:val="002B6E31"/>
    <w:rsid w:val="002B75BB"/>
    <w:rsid w:val="002C273B"/>
    <w:rsid w:val="002D1CD5"/>
    <w:rsid w:val="002D2116"/>
    <w:rsid w:val="002D4C3C"/>
    <w:rsid w:val="002D7BFD"/>
    <w:rsid w:val="002E087D"/>
    <w:rsid w:val="002E258A"/>
    <w:rsid w:val="002E3A26"/>
    <w:rsid w:val="002E5947"/>
    <w:rsid w:val="00310F4C"/>
    <w:rsid w:val="00313485"/>
    <w:rsid w:val="003139FE"/>
    <w:rsid w:val="00326112"/>
    <w:rsid w:val="00326302"/>
    <w:rsid w:val="00336461"/>
    <w:rsid w:val="00340ACE"/>
    <w:rsid w:val="00341ACC"/>
    <w:rsid w:val="00344874"/>
    <w:rsid w:val="0034584F"/>
    <w:rsid w:val="00355B5A"/>
    <w:rsid w:val="003560A1"/>
    <w:rsid w:val="00363069"/>
    <w:rsid w:val="00377436"/>
    <w:rsid w:val="00377A27"/>
    <w:rsid w:val="00377DDB"/>
    <w:rsid w:val="003833A7"/>
    <w:rsid w:val="003B759B"/>
    <w:rsid w:val="003C067F"/>
    <w:rsid w:val="003C348B"/>
    <w:rsid w:val="003C672D"/>
    <w:rsid w:val="003D44C8"/>
    <w:rsid w:val="003D4F75"/>
    <w:rsid w:val="003D5127"/>
    <w:rsid w:val="003E1BA6"/>
    <w:rsid w:val="003E6BE8"/>
    <w:rsid w:val="003E7421"/>
    <w:rsid w:val="00404107"/>
    <w:rsid w:val="004119CD"/>
    <w:rsid w:val="004230D8"/>
    <w:rsid w:val="004262C9"/>
    <w:rsid w:val="004351DA"/>
    <w:rsid w:val="0044045D"/>
    <w:rsid w:val="00443E76"/>
    <w:rsid w:val="0044550F"/>
    <w:rsid w:val="004503A6"/>
    <w:rsid w:val="00461B09"/>
    <w:rsid w:val="00484749"/>
    <w:rsid w:val="0048505B"/>
    <w:rsid w:val="00485DEE"/>
    <w:rsid w:val="004944B9"/>
    <w:rsid w:val="004B23F1"/>
    <w:rsid w:val="004B5115"/>
    <w:rsid w:val="004B7686"/>
    <w:rsid w:val="004D37C1"/>
    <w:rsid w:val="004D5C51"/>
    <w:rsid w:val="004D7B1C"/>
    <w:rsid w:val="004E3FCB"/>
    <w:rsid w:val="004F1261"/>
    <w:rsid w:val="004F4D8B"/>
    <w:rsid w:val="00501CC0"/>
    <w:rsid w:val="00505E8E"/>
    <w:rsid w:val="005107C0"/>
    <w:rsid w:val="0051236B"/>
    <w:rsid w:val="00520D75"/>
    <w:rsid w:val="00522AB9"/>
    <w:rsid w:val="00523758"/>
    <w:rsid w:val="00530DDC"/>
    <w:rsid w:val="00532C28"/>
    <w:rsid w:val="00543D1D"/>
    <w:rsid w:val="00554BB9"/>
    <w:rsid w:val="0055680D"/>
    <w:rsid w:val="00557B73"/>
    <w:rsid w:val="005623E8"/>
    <w:rsid w:val="005747D5"/>
    <w:rsid w:val="00581FF2"/>
    <w:rsid w:val="00582069"/>
    <w:rsid w:val="005829BB"/>
    <w:rsid w:val="005903D6"/>
    <w:rsid w:val="005947A1"/>
    <w:rsid w:val="005A0E84"/>
    <w:rsid w:val="005A667E"/>
    <w:rsid w:val="005A74A7"/>
    <w:rsid w:val="005B31A9"/>
    <w:rsid w:val="005D4E2B"/>
    <w:rsid w:val="005D63EC"/>
    <w:rsid w:val="005D66DA"/>
    <w:rsid w:val="005E0D44"/>
    <w:rsid w:val="005E1CEB"/>
    <w:rsid w:val="005E2650"/>
    <w:rsid w:val="005E4C4B"/>
    <w:rsid w:val="005E61BC"/>
    <w:rsid w:val="005E6699"/>
    <w:rsid w:val="005F282F"/>
    <w:rsid w:val="005F4487"/>
    <w:rsid w:val="0060144B"/>
    <w:rsid w:val="006033BC"/>
    <w:rsid w:val="0060550E"/>
    <w:rsid w:val="00605AFD"/>
    <w:rsid w:val="00617500"/>
    <w:rsid w:val="006207C4"/>
    <w:rsid w:val="0063354B"/>
    <w:rsid w:val="00635717"/>
    <w:rsid w:val="0063603F"/>
    <w:rsid w:val="00636F51"/>
    <w:rsid w:val="00637331"/>
    <w:rsid w:val="00641C5D"/>
    <w:rsid w:val="00642FE7"/>
    <w:rsid w:val="0064303C"/>
    <w:rsid w:val="00643CD3"/>
    <w:rsid w:val="00644EC1"/>
    <w:rsid w:val="006503EC"/>
    <w:rsid w:val="006714CE"/>
    <w:rsid w:val="006757BE"/>
    <w:rsid w:val="00675D94"/>
    <w:rsid w:val="00684309"/>
    <w:rsid w:val="0068619C"/>
    <w:rsid w:val="00687CDA"/>
    <w:rsid w:val="006930A3"/>
    <w:rsid w:val="006B25DC"/>
    <w:rsid w:val="006B2E87"/>
    <w:rsid w:val="006B558D"/>
    <w:rsid w:val="006B5908"/>
    <w:rsid w:val="006B68F1"/>
    <w:rsid w:val="006C2D3E"/>
    <w:rsid w:val="006D0986"/>
    <w:rsid w:val="006D3956"/>
    <w:rsid w:val="006E2086"/>
    <w:rsid w:val="006F1F3B"/>
    <w:rsid w:val="007038FF"/>
    <w:rsid w:val="0070398A"/>
    <w:rsid w:val="00704273"/>
    <w:rsid w:val="00707694"/>
    <w:rsid w:val="00712591"/>
    <w:rsid w:val="007225D1"/>
    <w:rsid w:val="00723479"/>
    <w:rsid w:val="007234E6"/>
    <w:rsid w:val="0073053F"/>
    <w:rsid w:val="0073625C"/>
    <w:rsid w:val="00741BCA"/>
    <w:rsid w:val="007424DB"/>
    <w:rsid w:val="0074323E"/>
    <w:rsid w:val="007516A4"/>
    <w:rsid w:val="00751BF5"/>
    <w:rsid w:val="00757E22"/>
    <w:rsid w:val="0076321A"/>
    <w:rsid w:val="007647D1"/>
    <w:rsid w:val="00767517"/>
    <w:rsid w:val="007702E2"/>
    <w:rsid w:val="00771B49"/>
    <w:rsid w:val="0077583B"/>
    <w:rsid w:val="007912D2"/>
    <w:rsid w:val="00793D80"/>
    <w:rsid w:val="00794FD1"/>
    <w:rsid w:val="007A0F06"/>
    <w:rsid w:val="007A3DED"/>
    <w:rsid w:val="007A56AC"/>
    <w:rsid w:val="007A6A48"/>
    <w:rsid w:val="007B1180"/>
    <w:rsid w:val="007B5593"/>
    <w:rsid w:val="007C0F31"/>
    <w:rsid w:val="007D06D8"/>
    <w:rsid w:val="007F0B02"/>
    <w:rsid w:val="007F33AD"/>
    <w:rsid w:val="007F5C92"/>
    <w:rsid w:val="007F5DCB"/>
    <w:rsid w:val="007F5EC2"/>
    <w:rsid w:val="00802114"/>
    <w:rsid w:val="00803290"/>
    <w:rsid w:val="00804605"/>
    <w:rsid w:val="00805A95"/>
    <w:rsid w:val="0081746A"/>
    <w:rsid w:val="008456AC"/>
    <w:rsid w:val="00846368"/>
    <w:rsid w:val="008468B6"/>
    <w:rsid w:val="00856BEB"/>
    <w:rsid w:val="008573AF"/>
    <w:rsid w:val="00863ADB"/>
    <w:rsid w:val="0087044B"/>
    <w:rsid w:val="008747EF"/>
    <w:rsid w:val="00875C3F"/>
    <w:rsid w:val="00876BA2"/>
    <w:rsid w:val="008822E5"/>
    <w:rsid w:val="008926BF"/>
    <w:rsid w:val="008B0FF0"/>
    <w:rsid w:val="008C5048"/>
    <w:rsid w:val="008C5459"/>
    <w:rsid w:val="008D0D10"/>
    <w:rsid w:val="008D1764"/>
    <w:rsid w:val="008D1D3B"/>
    <w:rsid w:val="008E0650"/>
    <w:rsid w:val="008E1EA1"/>
    <w:rsid w:val="008F4A26"/>
    <w:rsid w:val="008F6940"/>
    <w:rsid w:val="00900E49"/>
    <w:rsid w:val="00904F67"/>
    <w:rsid w:val="009051A9"/>
    <w:rsid w:val="00914219"/>
    <w:rsid w:val="009208F1"/>
    <w:rsid w:val="00923285"/>
    <w:rsid w:val="0092558C"/>
    <w:rsid w:val="009330CE"/>
    <w:rsid w:val="00933B12"/>
    <w:rsid w:val="00940BE6"/>
    <w:rsid w:val="009446D9"/>
    <w:rsid w:val="00944B6A"/>
    <w:rsid w:val="0094785E"/>
    <w:rsid w:val="00954804"/>
    <w:rsid w:val="00954A05"/>
    <w:rsid w:val="009667C0"/>
    <w:rsid w:val="0097338F"/>
    <w:rsid w:val="009759A1"/>
    <w:rsid w:val="009A0413"/>
    <w:rsid w:val="009A2BC8"/>
    <w:rsid w:val="009B038B"/>
    <w:rsid w:val="009B5818"/>
    <w:rsid w:val="009C5688"/>
    <w:rsid w:val="009D089D"/>
    <w:rsid w:val="009D0E58"/>
    <w:rsid w:val="009D4666"/>
    <w:rsid w:val="009E3662"/>
    <w:rsid w:val="009F3B4C"/>
    <w:rsid w:val="00A041A5"/>
    <w:rsid w:val="00A0643F"/>
    <w:rsid w:val="00A24EC6"/>
    <w:rsid w:val="00A43191"/>
    <w:rsid w:val="00A440B5"/>
    <w:rsid w:val="00A50849"/>
    <w:rsid w:val="00A526D2"/>
    <w:rsid w:val="00A64FB7"/>
    <w:rsid w:val="00A65220"/>
    <w:rsid w:val="00A7634A"/>
    <w:rsid w:val="00A824AA"/>
    <w:rsid w:val="00A830E7"/>
    <w:rsid w:val="00AA39D3"/>
    <w:rsid w:val="00AA73DC"/>
    <w:rsid w:val="00AB1426"/>
    <w:rsid w:val="00AB2C36"/>
    <w:rsid w:val="00AB3381"/>
    <w:rsid w:val="00AC3438"/>
    <w:rsid w:val="00AC5D48"/>
    <w:rsid w:val="00AC5DF3"/>
    <w:rsid w:val="00AC6876"/>
    <w:rsid w:val="00AD2138"/>
    <w:rsid w:val="00AD4FA4"/>
    <w:rsid w:val="00AE12C2"/>
    <w:rsid w:val="00B05CA9"/>
    <w:rsid w:val="00B16D61"/>
    <w:rsid w:val="00B21947"/>
    <w:rsid w:val="00B2325B"/>
    <w:rsid w:val="00B25761"/>
    <w:rsid w:val="00B4681F"/>
    <w:rsid w:val="00B46947"/>
    <w:rsid w:val="00B471A8"/>
    <w:rsid w:val="00B50FB3"/>
    <w:rsid w:val="00B56610"/>
    <w:rsid w:val="00B60ED7"/>
    <w:rsid w:val="00B665C6"/>
    <w:rsid w:val="00B80A00"/>
    <w:rsid w:val="00B841A4"/>
    <w:rsid w:val="00B8696C"/>
    <w:rsid w:val="00B8734B"/>
    <w:rsid w:val="00B8736E"/>
    <w:rsid w:val="00B90C13"/>
    <w:rsid w:val="00B975E7"/>
    <w:rsid w:val="00BB6692"/>
    <w:rsid w:val="00BC4EFC"/>
    <w:rsid w:val="00BD0EC2"/>
    <w:rsid w:val="00BD11DB"/>
    <w:rsid w:val="00BD55C8"/>
    <w:rsid w:val="00BD77BC"/>
    <w:rsid w:val="00BE1071"/>
    <w:rsid w:val="00BE130C"/>
    <w:rsid w:val="00BE2CF8"/>
    <w:rsid w:val="00BE3AB1"/>
    <w:rsid w:val="00BE3BBB"/>
    <w:rsid w:val="00BE6099"/>
    <w:rsid w:val="00BE7B63"/>
    <w:rsid w:val="00BF3353"/>
    <w:rsid w:val="00C013CD"/>
    <w:rsid w:val="00C053A6"/>
    <w:rsid w:val="00C10CEC"/>
    <w:rsid w:val="00C14292"/>
    <w:rsid w:val="00C235F1"/>
    <w:rsid w:val="00C24F74"/>
    <w:rsid w:val="00C27074"/>
    <w:rsid w:val="00C3160C"/>
    <w:rsid w:val="00C37A5F"/>
    <w:rsid w:val="00C41B81"/>
    <w:rsid w:val="00C46028"/>
    <w:rsid w:val="00C51B31"/>
    <w:rsid w:val="00C51D6E"/>
    <w:rsid w:val="00C63F06"/>
    <w:rsid w:val="00C643D2"/>
    <w:rsid w:val="00C674C6"/>
    <w:rsid w:val="00C75CED"/>
    <w:rsid w:val="00C75E45"/>
    <w:rsid w:val="00C802C6"/>
    <w:rsid w:val="00C8618D"/>
    <w:rsid w:val="00C868D0"/>
    <w:rsid w:val="00C92998"/>
    <w:rsid w:val="00CA475F"/>
    <w:rsid w:val="00CB21AC"/>
    <w:rsid w:val="00CB71F8"/>
    <w:rsid w:val="00CD027F"/>
    <w:rsid w:val="00CD2390"/>
    <w:rsid w:val="00CE0D21"/>
    <w:rsid w:val="00CE74E4"/>
    <w:rsid w:val="00CF6661"/>
    <w:rsid w:val="00CF6EF4"/>
    <w:rsid w:val="00D03A02"/>
    <w:rsid w:val="00D17A2A"/>
    <w:rsid w:val="00D24B38"/>
    <w:rsid w:val="00D26FB8"/>
    <w:rsid w:val="00D3772D"/>
    <w:rsid w:val="00D4069C"/>
    <w:rsid w:val="00D64102"/>
    <w:rsid w:val="00D643F2"/>
    <w:rsid w:val="00D65422"/>
    <w:rsid w:val="00D740B1"/>
    <w:rsid w:val="00D94212"/>
    <w:rsid w:val="00D9578B"/>
    <w:rsid w:val="00DB2843"/>
    <w:rsid w:val="00DC5E95"/>
    <w:rsid w:val="00DD0DD9"/>
    <w:rsid w:val="00DD4A89"/>
    <w:rsid w:val="00DE62A8"/>
    <w:rsid w:val="00DF0D72"/>
    <w:rsid w:val="00DF39BC"/>
    <w:rsid w:val="00DF50B5"/>
    <w:rsid w:val="00DF5DC2"/>
    <w:rsid w:val="00DF6C87"/>
    <w:rsid w:val="00DF7725"/>
    <w:rsid w:val="00E034D4"/>
    <w:rsid w:val="00E062A5"/>
    <w:rsid w:val="00E12163"/>
    <w:rsid w:val="00E1708A"/>
    <w:rsid w:val="00E207B0"/>
    <w:rsid w:val="00E348D4"/>
    <w:rsid w:val="00E41480"/>
    <w:rsid w:val="00E4396B"/>
    <w:rsid w:val="00E63D97"/>
    <w:rsid w:val="00E677DE"/>
    <w:rsid w:val="00E77340"/>
    <w:rsid w:val="00E863B0"/>
    <w:rsid w:val="00E92DD1"/>
    <w:rsid w:val="00E94FB3"/>
    <w:rsid w:val="00EA2640"/>
    <w:rsid w:val="00EA5A26"/>
    <w:rsid w:val="00EA7E30"/>
    <w:rsid w:val="00EB02C4"/>
    <w:rsid w:val="00EB0EC3"/>
    <w:rsid w:val="00EB4713"/>
    <w:rsid w:val="00EB6F51"/>
    <w:rsid w:val="00ED0381"/>
    <w:rsid w:val="00ED174C"/>
    <w:rsid w:val="00ED19CD"/>
    <w:rsid w:val="00EE3BC2"/>
    <w:rsid w:val="00EE6ADC"/>
    <w:rsid w:val="00EF1FF7"/>
    <w:rsid w:val="00EF7C68"/>
    <w:rsid w:val="00F03488"/>
    <w:rsid w:val="00F04530"/>
    <w:rsid w:val="00F12B45"/>
    <w:rsid w:val="00F3024B"/>
    <w:rsid w:val="00F3098F"/>
    <w:rsid w:val="00F33DDF"/>
    <w:rsid w:val="00F34EB3"/>
    <w:rsid w:val="00F3716D"/>
    <w:rsid w:val="00F42322"/>
    <w:rsid w:val="00F50D17"/>
    <w:rsid w:val="00F569C2"/>
    <w:rsid w:val="00F65A92"/>
    <w:rsid w:val="00F70DD5"/>
    <w:rsid w:val="00F7263A"/>
    <w:rsid w:val="00F77643"/>
    <w:rsid w:val="00F83F87"/>
    <w:rsid w:val="00FA56CC"/>
    <w:rsid w:val="00FA6C8C"/>
    <w:rsid w:val="00FB1ADA"/>
    <w:rsid w:val="00FD194B"/>
    <w:rsid w:val="00FD3695"/>
    <w:rsid w:val="00FE553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14"/>
    <w:rPr>
      <w:lang w:val="fr-FR"/>
    </w:rPr>
  </w:style>
  <w:style w:type="paragraph" w:styleId="Titre3">
    <w:name w:val="heading 3"/>
    <w:basedOn w:val="Normal"/>
    <w:next w:val="Normal"/>
    <w:link w:val="Titre3Car"/>
    <w:uiPriority w:val="9"/>
    <w:unhideWhenUsed/>
    <w:qFormat/>
    <w:rsid w:val="008E1E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0211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2114"/>
    <w:rPr>
      <w:sz w:val="20"/>
      <w:szCs w:val="20"/>
      <w:lang w:val="fr-FR"/>
    </w:rPr>
  </w:style>
  <w:style w:type="character" w:styleId="Appelnotedebasdep">
    <w:name w:val="footnote reference"/>
    <w:basedOn w:val="Policepardfaut"/>
    <w:uiPriority w:val="99"/>
    <w:semiHidden/>
    <w:unhideWhenUsed/>
    <w:rsid w:val="00802114"/>
    <w:rPr>
      <w:vertAlign w:val="superscript"/>
    </w:rPr>
  </w:style>
  <w:style w:type="character" w:styleId="Lienhypertexte">
    <w:name w:val="Hyperlink"/>
    <w:basedOn w:val="Policepardfaut"/>
    <w:uiPriority w:val="99"/>
    <w:unhideWhenUsed/>
    <w:rsid w:val="00802114"/>
    <w:rPr>
      <w:color w:val="0000FF" w:themeColor="hyperlink"/>
      <w:u w:val="single"/>
    </w:rPr>
  </w:style>
  <w:style w:type="paragraph" w:styleId="Textedebulles">
    <w:name w:val="Balloon Text"/>
    <w:basedOn w:val="Normal"/>
    <w:link w:val="TextedebullesCar"/>
    <w:uiPriority w:val="99"/>
    <w:semiHidden/>
    <w:unhideWhenUsed/>
    <w:rsid w:val="008021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2114"/>
    <w:rPr>
      <w:rFonts w:ascii="Tahoma" w:hAnsi="Tahoma" w:cs="Tahoma"/>
      <w:sz w:val="16"/>
      <w:szCs w:val="16"/>
      <w:lang w:val="fr-FR"/>
    </w:rPr>
  </w:style>
  <w:style w:type="paragraph" w:styleId="Paragraphedeliste">
    <w:name w:val="List Paragraph"/>
    <w:basedOn w:val="Normal"/>
    <w:uiPriority w:val="34"/>
    <w:qFormat/>
    <w:rsid w:val="00D65422"/>
    <w:pPr>
      <w:ind w:left="720"/>
      <w:contextualSpacing/>
    </w:pPr>
  </w:style>
  <w:style w:type="paragraph" w:styleId="En-tte">
    <w:name w:val="header"/>
    <w:basedOn w:val="Normal"/>
    <w:link w:val="En-tteCar"/>
    <w:uiPriority w:val="99"/>
    <w:semiHidden/>
    <w:unhideWhenUsed/>
    <w:rsid w:val="008C54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5459"/>
    <w:rPr>
      <w:lang w:val="fr-FR"/>
    </w:rPr>
  </w:style>
  <w:style w:type="paragraph" w:styleId="Pieddepage">
    <w:name w:val="footer"/>
    <w:basedOn w:val="Normal"/>
    <w:link w:val="PieddepageCar"/>
    <w:uiPriority w:val="99"/>
    <w:unhideWhenUsed/>
    <w:rsid w:val="008C54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5459"/>
    <w:rPr>
      <w:lang w:val="fr-FR"/>
    </w:rPr>
  </w:style>
  <w:style w:type="character" w:styleId="Marquedecommentaire">
    <w:name w:val="annotation reference"/>
    <w:basedOn w:val="Policepardfaut"/>
    <w:uiPriority w:val="99"/>
    <w:semiHidden/>
    <w:unhideWhenUsed/>
    <w:rsid w:val="009A2BC8"/>
    <w:rPr>
      <w:sz w:val="18"/>
      <w:szCs w:val="18"/>
    </w:rPr>
  </w:style>
  <w:style w:type="paragraph" w:styleId="Commentaire">
    <w:name w:val="annotation text"/>
    <w:basedOn w:val="Normal"/>
    <w:link w:val="CommentaireCar"/>
    <w:uiPriority w:val="99"/>
    <w:unhideWhenUsed/>
    <w:rsid w:val="006C2D3E"/>
    <w:pPr>
      <w:spacing w:line="240" w:lineRule="auto"/>
    </w:pPr>
    <w:rPr>
      <w:sz w:val="24"/>
      <w:szCs w:val="24"/>
    </w:rPr>
  </w:style>
  <w:style w:type="character" w:customStyle="1" w:styleId="CommentaireCar">
    <w:name w:val="Commentaire Car"/>
    <w:basedOn w:val="Policepardfaut"/>
    <w:link w:val="Commentaire"/>
    <w:uiPriority w:val="99"/>
    <w:rsid w:val="006C2D3E"/>
    <w:rPr>
      <w:sz w:val="24"/>
      <w:szCs w:val="24"/>
      <w:lang w:val="fr-FR"/>
    </w:rPr>
  </w:style>
  <w:style w:type="paragraph" w:styleId="Objetducommentaire">
    <w:name w:val="annotation subject"/>
    <w:basedOn w:val="Commentaire"/>
    <w:next w:val="Commentaire"/>
    <w:link w:val="ObjetducommentaireCar"/>
    <w:uiPriority w:val="99"/>
    <w:semiHidden/>
    <w:unhideWhenUsed/>
    <w:rsid w:val="009A2BC8"/>
    <w:rPr>
      <w:b/>
      <w:bCs/>
      <w:sz w:val="20"/>
      <w:szCs w:val="20"/>
    </w:rPr>
  </w:style>
  <w:style w:type="character" w:customStyle="1" w:styleId="ObjetducommentaireCar">
    <w:name w:val="Objet du commentaire Car"/>
    <w:basedOn w:val="CommentaireCar"/>
    <w:link w:val="Objetducommentaire"/>
    <w:uiPriority w:val="99"/>
    <w:semiHidden/>
    <w:rsid w:val="009A2BC8"/>
    <w:rPr>
      <w:b/>
      <w:bCs/>
      <w:sz w:val="20"/>
      <w:szCs w:val="20"/>
    </w:rPr>
  </w:style>
  <w:style w:type="character" w:customStyle="1" w:styleId="Titre3Car">
    <w:name w:val="Titre 3 Car"/>
    <w:basedOn w:val="Policepardfaut"/>
    <w:link w:val="Titre3"/>
    <w:uiPriority w:val="9"/>
    <w:rsid w:val="008E1EA1"/>
    <w:rPr>
      <w:rFonts w:asciiTheme="majorHAnsi" w:eastAsiaTheme="majorEastAsia" w:hAnsiTheme="majorHAnsi" w:cstheme="majorBidi"/>
      <w:b/>
      <w:bCs/>
      <w:color w:val="4F81BD" w:themeColor="accent1"/>
      <w:lang w:val="fr-FR"/>
    </w:rPr>
  </w:style>
  <w:style w:type="paragraph" w:styleId="Notedefin">
    <w:name w:val="endnote text"/>
    <w:basedOn w:val="Normal"/>
    <w:link w:val="NotedefinCar"/>
    <w:uiPriority w:val="99"/>
    <w:semiHidden/>
    <w:unhideWhenUsed/>
    <w:rsid w:val="00B841A4"/>
    <w:pPr>
      <w:spacing w:after="0" w:line="240" w:lineRule="auto"/>
    </w:pPr>
    <w:rPr>
      <w:sz w:val="20"/>
      <w:szCs w:val="20"/>
    </w:rPr>
  </w:style>
  <w:style w:type="character" w:customStyle="1" w:styleId="NotedefinCar">
    <w:name w:val="Note de fin Car"/>
    <w:basedOn w:val="Policepardfaut"/>
    <w:link w:val="Notedefin"/>
    <w:uiPriority w:val="99"/>
    <w:semiHidden/>
    <w:rsid w:val="00B841A4"/>
    <w:rPr>
      <w:sz w:val="20"/>
      <w:szCs w:val="20"/>
      <w:lang w:val="fr-FR"/>
    </w:rPr>
  </w:style>
  <w:style w:type="character" w:styleId="Appeldenotedefin">
    <w:name w:val="endnote reference"/>
    <w:basedOn w:val="Policepardfaut"/>
    <w:uiPriority w:val="99"/>
    <w:semiHidden/>
    <w:unhideWhenUsed/>
    <w:rsid w:val="00B841A4"/>
    <w:rPr>
      <w:vertAlign w:val="superscript"/>
    </w:rPr>
  </w:style>
  <w:style w:type="character" w:styleId="Textedelespacerserv">
    <w:name w:val="Placeholder Text"/>
    <w:basedOn w:val="Policepardfaut"/>
    <w:uiPriority w:val="99"/>
    <w:semiHidden/>
    <w:rsid w:val="00FD194B"/>
    <w:rPr>
      <w:color w:val="808080"/>
    </w:rPr>
  </w:style>
</w:styles>
</file>

<file path=word/webSettings.xml><?xml version="1.0" encoding="utf-8"?>
<w:webSettings xmlns:r="http://schemas.openxmlformats.org/officeDocument/2006/relationships" xmlns:w="http://schemas.openxmlformats.org/wordprocessingml/2006/main">
  <w:divs>
    <w:div w:id="80296196">
      <w:bodyDiv w:val="1"/>
      <w:marLeft w:val="0"/>
      <w:marRight w:val="0"/>
      <w:marTop w:val="0"/>
      <w:marBottom w:val="0"/>
      <w:divBdr>
        <w:top w:val="none" w:sz="0" w:space="0" w:color="auto"/>
        <w:left w:val="none" w:sz="0" w:space="0" w:color="auto"/>
        <w:bottom w:val="none" w:sz="0" w:space="0" w:color="auto"/>
        <w:right w:val="none" w:sz="0" w:space="0" w:color="auto"/>
      </w:divBdr>
    </w:div>
    <w:div w:id="97608604">
      <w:bodyDiv w:val="1"/>
      <w:marLeft w:val="0"/>
      <w:marRight w:val="0"/>
      <w:marTop w:val="0"/>
      <w:marBottom w:val="0"/>
      <w:divBdr>
        <w:top w:val="none" w:sz="0" w:space="0" w:color="auto"/>
        <w:left w:val="none" w:sz="0" w:space="0" w:color="auto"/>
        <w:bottom w:val="none" w:sz="0" w:space="0" w:color="auto"/>
        <w:right w:val="none" w:sz="0" w:space="0" w:color="auto"/>
      </w:divBdr>
    </w:div>
    <w:div w:id="184566644">
      <w:bodyDiv w:val="1"/>
      <w:marLeft w:val="0"/>
      <w:marRight w:val="0"/>
      <w:marTop w:val="0"/>
      <w:marBottom w:val="0"/>
      <w:divBdr>
        <w:top w:val="none" w:sz="0" w:space="0" w:color="auto"/>
        <w:left w:val="none" w:sz="0" w:space="0" w:color="auto"/>
        <w:bottom w:val="none" w:sz="0" w:space="0" w:color="auto"/>
        <w:right w:val="none" w:sz="0" w:space="0" w:color="auto"/>
      </w:divBdr>
    </w:div>
    <w:div w:id="206140435">
      <w:bodyDiv w:val="1"/>
      <w:marLeft w:val="0"/>
      <w:marRight w:val="0"/>
      <w:marTop w:val="0"/>
      <w:marBottom w:val="0"/>
      <w:divBdr>
        <w:top w:val="none" w:sz="0" w:space="0" w:color="auto"/>
        <w:left w:val="none" w:sz="0" w:space="0" w:color="auto"/>
        <w:bottom w:val="none" w:sz="0" w:space="0" w:color="auto"/>
        <w:right w:val="none" w:sz="0" w:space="0" w:color="auto"/>
      </w:divBdr>
    </w:div>
    <w:div w:id="266036537">
      <w:bodyDiv w:val="1"/>
      <w:marLeft w:val="0"/>
      <w:marRight w:val="0"/>
      <w:marTop w:val="0"/>
      <w:marBottom w:val="0"/>
      <w:divBdr>
        <w:top w:val="none" w:sz="0" w:space="0" w:color="auto"/>
        <w:left w:val="none" w:sz="0" w:space="0" w:color="auto"/>
        <w:bottom w:val="none" w:sz="0" w:space="0" w:color="auto"/>
        <w:right w:val="none" w:sz="0" w:space="0" w:color="auto"/>
      </w:divBdr>
    </w:div>
    <w:div w:id="269703179">
      <w:bodyDiv w:val="1"/>
      <w:marLeft w:val="0"/>
      <w:marRight w:val="0"/>
      <w:marTop w:val="0"/>
      <w:marBottom w:val="0"/>
      <w:divBdr>
        <w:top w:val="none" w:sz="0" w:space="0" w:color="auto"/>
        <w:left w:val="none" w:sz="0" w:space="0" w:color="auto"/>
        <w:bottom w:val="none" w:sz="0" w:space="0" w:color="auto"/>
        <w:right w:val="none" w:sz="0" w:space="0" w:color="auto"/>
      </w:divBdr>
    </w:div>
    <w:div w:id="375080128">
      <w:bodyDiv w:val="1"/>
      <w:marLeft w:val="0"/>
      <w:marRight w:val="0"/>
      <w:marTop w:val="0"/>
      <w:marBottom w:val="0"/>
      <w:divBdr>
        <w:top w:val="none" w:sz="0" w:space="0" w:color="auto"/>
        <w:left w:val="none" w:sz="0" w:space="0" w:color="auto"/>
        <w:bottom w:val="none" w:sz="0" w:space="0" w:color="auto"/>
        <w:right w:val="none" w:sz="0" w:space="0" w:color="auto"/>
      </w:divBdr>
    </w:div>
    <w:div w:id="394084295">
      <w:bodyDiv w:val="1"/>
      <w:marLeft w:val="0"/>
      <w:marRight w:val="0"/>
      <w:marTop w:val="0"/>
      <w:marBottom w:val="0"/>
      <w:divBdr>
        <w:top w:val="none" w:sz="0" w:space="0" w:color="auto"/>
        <w:left w:val="none" w:sz="0" w:space="0" w:color="auto"/>
        <w:bottom w:val="none" w:sz="0" w:space="0" w:color="auto"/>
        <w:right w:val="none" w:sz="0" w:space="0" w:color="auto"/>
      </w:divBdr>
    </w:div>
    <w:div w:id="560941477">
      <w:bodyDiv w:val="1"/>
      <w:marLeft w:val="0"/>
      <w:marRight w:val="0"/>
      <w:marTop w:val="0"/>
      <w:marBottom w:val="0"/>
      <w:divBdr>
        <w:top w:val="none" w:sz="0" w:space="0" w:color="auto"/>
        <w:left w:val="none" w:sz="0" w:space="0" w:color="auto"/>
        <w:bottom w:val="none" w:sz="0" w:space="0" w:color="auto"/>
        <w:right w:val="none" w:sz="0" w:space="0" w:color="auto"/>
      </w:divBdr>
    </w:div>
    <w:div w:id="635331316">
      <w:bodyDiv w:val="1"/>
      <w:marLeft w:val="0"/>
      <w:marRight w:val="0"/>
      <w:marTop w:val="0"/>
      <w:marBottom w:val="0"/>
      <w:divBdr>
        <w:top w:val="none" w:sz="0" w:space="0" w:color="auto"/>
        <w:left w:val="none" w:sz="0" w:space="0" w:color="auto"/>
        <w:bottom w:val="none" w:sz="0" w:space="0" w:color="auto"/>
        <w:right w:val="none" w:sz="0" w:space="0" w:color="auto"/>
      </w:divBdr>
    </w:div>
    <w:div w:id="645857698">
      <w:bodyDiv w:val="1"/>
      <w:marLeft w:val="0"/>
      <w:marRight w:val="0"/>
      <w:marTop w:val="0"/>
      <w:marBottom w:val="0"/>
      <w:divBdr>
        <w:top w:val="none" w:sz="0" w:space="0" w:color="auto"/>
        <w:left w:val="none" w:sz="0" w:space="0" w:color="auto"/>
        <w:bottom w:val="none" w:sz="0" w:space="0" w:color="auto"/>
        <w:right w:val="none" w:sz="0" w:space="0" w:color="auto"/>
      </w:divBdr>
    </w:div>
    <w:div w:id="687566484">
      <w:bodyDiv w:val="1"/>
      <w:marLeft w:val="0"/>
      <w:marRight w:val="0"/>
      <w:marTop w:val="0"/>
      <w:marBottom w:val="0"/>
      <w:divBdr>
        <w:top w:val="none" w:sz="0" w:space="0" w:color="auto"/>
        <w:left w:val="none" w:sz="0" w:space="0" w:color="auto"/>
        <w:bottom w:val="none" w:sz="0" w:space="0" w:color="auto"/>
        <w:right w:val="none" w:sz="0" w:space="0" w:color="auto"/>
      </w:divBdr>
    </w:div>
    <w:div w:id="717321541">
      <w:bodyDiv w:val="1"/>
      <w:marLeft w:val="0"/>
      <w:marRight w:val="0"/>
      <w:marTop w:val="0"/>
      <w:marBottom w:val="0"/>
      <w:divBdr>
        <w:top w:val="none" w:sz="0" w:space="0" w:color="auto"/>
        <w:left w:val="none" w:sz="0" w:space="0" w:color="auto"/>
        <w:bottom w:val="none" w:sz="0" w:space="0" w:color="auto"/>
        <w:right w:val="none" w:sz="0" w:space="0" w:color="auto"/>
      </w:divBdr>
    </w:div>
    <w:div w:id="876889746">
      <w:bodyDiv w:val="1"/>
      <w:marLeft w:val="0"/>
      <w:marRight w:val="0"/>
      <w:marTop w:val="0"/>
      <w:marBottom w:val="0"/>
      <w:divBdr>
        <w:top w:val="none" w:sz="0" w:space="0" w:color="auto"/>
        <w:left w:val="none" w:sz="0" w:space="0" w:color="auto"/>
        <w:bottom w:val="none" w:sz="0" w:space="0" w:color="auto"/>
        <w:right w:val="none" w:sz="0" w:space="0" w:color="auto"/>
      </w:divBdr>
    </w:div>
    <w:div w:id="912206818">
      <w:bodyDiv w:val="1"/>
      <w:marLeft w:val="0"/>
      <w:marRight w:val="0"/>
      <w:marTop w:val="0"/>
      <w:marBottom w:val="0"/>
      <w:divBdr>
        <w:top w:val="none" w:sz="0" w:space="0" w:color="auto"/>
        <w:left w:val="none" w:sz="0" w:space="0" w:color="auto"/>
        <w:bottom w:val="none" w:sz="0" w:space="0" w:color="auto"/>
        <w:right w:val="none" w:sz="0" w:space="0" w:color="auto"/>
      </w:divBdr>
    </w:div>
    <w:div w:id="1165702693">
      <w:bodyDiv w:val="1"/>
      <w:marLeft w:val="0"/>
      <w:marRight w:val="0"/>
      <w:marTop w:val="0"/>
      <w:marBottom w:val="0"/>
      <w:divBdr>
        <w:top w:val="none" w:sz="0" w:space="0" w:color="auto"/>
        <w:left w:val="none" w:sz="0" w:space="0" w:color="auto"/>
        <w:bottom w:val="none" w:sz="0" w:space="0" w:color="auto"/>
        <w:right w:val="none" w:sz="0" w:space="0" w:color="auto"/>
      </w:divBdr>
    </w:div>
    <w:div w:id="1346251640">
      <w:bodyDiv w:val="1"/>
      <w:marLeft w:val="0"/>
      <w:marRight w:val="0"/>
      <w:marTop w:val="0"/>
      <w:marBottom w:val="0"/>
      <w:divBdr>
        <w:top w:val="none" w:sz="0" w:space="0" w:color="auto"/>
        <w:left w:val="none" w:sz="0" w:space="0" w:color="auto"/>
        <w:bottom w:val="none" w:sz="0" w:space="0" w:color="auto"/>
        <w:right w:val="none" w:sz="0" w:space="0" w:color="auto"/>
      </w:divBdr>
    </w:div>
    <w:div w:id="1417483370">
      <w:bodyDiv w:val="1"/>
      <w:marLeft w:val="0"/>
      <w:marRight w:val="0"/>
      <w:marTop w:val="0"/>
      <w:marBottom w:val="0"/>
      <w:divBdr>
        <w:top w:val="none" w:sz="0" w:space="0" w:color="auto"/>
        <w:left w:val="none" w:sz="0" w:space="0" w:color="auto"/>
        <w:bottom w:val="none" w:sz="0" w:space="0" w:color="auto"/>
        <w:right w:val="none" w:sz="0" w:space="0" w:color="auto"/>
      </w:divBdr>
    </w:div>
    <w:div w:id="1444180886">
      <w:bodyDiv w:val="1"/>
      <w:marLeft w:val="0"/>
      <w:marRight w:val="0"/>
      <w:marTop w:val="0"/>
      <w:marBottom w:val="0"/>
      <w:divBdr>
        <w:top w:val="none" w:sz="0" w:space="0" w:color="auto"/>
        <w:left w:val="none" w:sz="0" w:space="0" w:color="auto"/>
        <w:bottom w:val="none" w:sz="0" w:space="0" w:color="auto"/>
        <w:right w:val="none" w:sz="0" w:space="0" w:color="auto"/>
      </w:divBdr>
    </w:div>
    <w:div w:id="1528786072">
      <w:bodyDiv w:val="1"/>
      <w:marLeft w:val="0"/>
      <w:marRight w:val="0"/>
      <w:marTop w:val="0"/>
      <w:marBottom w:val="0"/>
      <w:divBdr>
        <w:top w:val="none" w:sz="0" w:space="0" w:color="auto"/>
        <w:left w:val="none" w:sz="0" w:space="0" w:color="auto"/>
        <w:bottom w:val="none" w:sz="0" w:space="0" w:color="auto"/>
        <w:right w:val="none" w:sz="0" w:space="0" w:color="auto"/>
      </w:divBdr>
    </w:div>
    <w:div w:id="1572159155">
      <w:bodyDiv w:val="1"/>
      <w:marLeft w:val="0"/>
      <w:marRight w:val="0"/>
      <w:marTop w:val="0"/>
      <w:marBottom w:val="0"/>
      <w:divBdr>
        <w:top w:val="none" w:sz="0" w:space="0" w:color="auto"/>
        <w:left w:val="none" w:sz="0" w:space="0" w:color="auto"/>
        <w:bottom w:val="none" w:sz="0" w:space="0" w:color="auto"/>
        <w:right w:val="none" w:sz="0" w:space="0" w:color="auto"/>
      </w:divBdr>
    </w:div>
    <w:div w:id="1574853021">
      <w:bodyDiv w:val="1"/>
      <w:marLeft w:val="0"/>
      <w:marRight w:val="0"/>
      <w:marTop w:val="0"/>
      <w:marBottom w:val="0"/>
      <w:divBdr>
        <w:top w:val="none" w:sz="0" w:space="0" w:color="auto"/>
        <w:left w:val="none" w:sz="0" w:space="0" w:color="auto"/>
        <w:bottom w:val="none" w:sz="0" w:space="0" w:color="auto"/>
        <w:right w:val="none" w:sz="0" w:space="0" w:color="auto"/>
      </w:divBdr>
    </w:div>
    <w:div w:id="1644888860">
      <w:bodyDiv w:val="1"/>
      <w:marLeft w:val="0"/>
      <w:marRight w:val="0"/>
      <w:marTop w:val="0"/>
      <w:marBottom w:val="0"/>
      <w:divBdr>
        <w:top w:val="none" w:sz="0" w:space="0" w:color="auto"/>
        <w:left w:val="none" w:sz="0" w:space="0" w:color="auto"/>
        <w:bottom w:val="none" w:sz="0" w:space="0" w:color="auto"/>
        <w:right w:val="none" w:sz="0" w:space="0" w:color="auto"/>
      </w:divBdr>
    </w:div>
    <w:div w:id="1711300754">
      <w:bodyDiv w:val="1"/>
      <w:marLeft w:val="0"/>
      <w:marRight w:val="0"/>
      <w:marTop w:val="0"/>
      <w:marBottom w:val="0"/>
      <w:divBdr>
        <w:top w:val="none" w:sz="0" w:space="0" w:color="auto"/>
        <w:left w:val="none" w:sz="0" w:space="0" w:color="auto"/>
        <w:bottom w:val="none" w:sz="0" w:space="0" w:color="auto"/>
        <w:right w:val="none" w:sz="0" w:space="0" w:color="auto"/>
      </w:divBdr>
    </w:div>
    <w:div w:id="1911304545">
      <w:bodyDiv w:val="1"/>
      <w:marLeft w:val="0"/>
      <w:marRight w:val="0"/>
      <w:marTop w:val="0"/>
      <w:marBottom w:val="0"/>
      <w:divBdr>
        <w:top w:val="none" w:sz="0" w:space="0" w:color="auto"/>
        <w:left w:val="none" w:sz="0" w:space="0" w:color="auto"/>
        <w:bottom w:val="none" w:sz="0" w:space="0" w:color="auto"/>
        <w:right w:val="none" w:sz="0" w:space="0" w:color="auto"/>
      </w:divBdr>
    </w:div>
    <w:div w:id="1973099475">
      <w:bodyDiv w:val="1"/>
      <w:marLeft w:val="0"/>
      <w:marRight w:val="0"/>
      <w:marTop w:val="0"/>
      <w:marBottom w:val="0"/>
      <w:divBdr>
        <w:top w:val="none" w:sz="0" w:space="0" w:color="auto"/>
        <w:left w:val="none" w:sz="0" w:space="0" w:color="auto"/>
        <w:bottom w:val="none" w:sz="0" w:space="0" w:color="auto"/>
        <w:right w:val="none" w:sz="0" w:space="0" w:color="auto"/>
      </w:divBdr>
    </w:div>
    <w:div w:id="1989087421">
      <w:bodyDiv w:val="1"/>
      <w:marLeft w:val="0"/>
      <w:marRight w:val="0"/>
      <w:marTop w:val="0"/>
      <w:marBottom w:val="0"/>
      <w:divBdr>
        <w:top w:val="none" w:sz="0" w:space="0" w:color="auto"/>
        <w:left w:val="none" w:sz="0" w:space="0" w:color="auto"/>
        <w:bottom w:val="none" w:sz="0" w:space="0" w:color="auto"/>
        <w:right w:val="none" w:sz="0" w:space="0" w:color="auto"/>
      </w:divBdr>
    </w:div>
    <w:div w:id="21303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danielle.sougne@ulg.ac.be" TargetMode="External"/><Relationship Id="rId2" Type="http://schemas.openxmlformats.org/officeDocument/2006/relationships/hyperlink" Target="mailto:laurent.cavenaile@ulg.ac.be" TargetMode="External"/><Relationship Id="rId1" Type="http://schemas.openxmlformats.org/officeDocument/2006/relationships/hyperlink" Target="mailto:l.bodson@gambit-finan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EC86-0882-4FDE-8C26-8F62DA5C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3933</Words>
  <Characters>21634</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 </cp:lastModifiedBy>
  <cp:revision>2</cp:revision>
  <dcterms:created xsi:type="dcterms:W3CDTF">2011-07-30T20:15:00Z</dcterms:created>
  <dcterms:modified xsi:type="dcterms:W3CDTF">2011-07-30T20:15:00Z</dcterms:modified>
</cp:coreProperties>
</file>