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606" w:rsidRDefault="00E725F5" w:rsidP="00E725F5">
      <w:pPr>
        <w:pStyle w:val="Titre1"/>
      </w:pPr>
      <w:r>
        <w:t xml:space="preserve">Etude multicentrique </w:t>
      </w:r>
      <w:r w:rsidR="00F84606">
        <w:t xml:space="preserve">du PAGM </w:t>
      </w:r>
      <w:r>
        <w:t xml:space="preserve">des muscles </w:t>
      </w:r>
      <w:r w:rsidR="00F84606">
        <w:t xml:space="preserve">de la loge </w:t>
      </w:r>
      <w:proofErr w:type="spellStart"/>
      <w:r w:rsidR="00F84606">
        <w:t>antéro-externe</w:t>
      </w:r>
      <w:proofErr w:type="spellEnd"/>
      <w:r w:rsidR="00F84606">
        <w:t xml:space="preserve"> </w:t>
      </w:r>
      <w:r>
        <w:t>de la jambe</w:t>
      </w:r>
      <w:r w:rsidR="00C00690">
        <w:t> : valeurs de référence</w:t>
      </w:r>
    </w:p>
    <w:p w:rsidR="00F84606" w:rsidRDefault="00F84606" w:rsidP="00F84606"/>
    <w:p w:rsidR="00095365" w:rsidRDefault="00F84606" w:rsidP="00F84606">
      <w:r>
        <w:t>GIEMGRA</w:t>
      </w:r>
      <w:r w:rsidR="005178F7">
        <w:t xml:space="preserve"> </w:t>
      </w:r>
      <w:r w:rsidR="005178F7">
        <w:rPr>
          <w:rFonts w:ascii="Arial" w:hAnsi="Arial" w:cs="Arial"/>
          <w:szCs w:val="18"/>
        </w:rPr>
        <w:t>(</w:t>
      </w:r>
      <w:r w:rsidR="005178F7" w:rsidRPr="005178F7">
        <w:rPr>
          <w:rFonts w:ascii="Helvetica" w:hAnsi="Helvetica" w:cs="Helvetica"/>
          <w:b/>
        </w:rPr>
        <w:t>G</w:t>
      </w:r>
      <w:r w:rsidR="005178F7">
        <w:rPr>
          <w:rFonts w:ascii="Helvetica" w:hAnsi="Helvetica" w:cs="Helvetica"/>
        </w:rPr>
        <w:t xml:space="preserve">roupe </w:t>
      </w:r>
      <w:r w:rsidR="005178F7" w:rsidRPr="005178F7">
        <w:rPr>
          <w:rFonts w:ascii="Helvetica" w:hAnsi="Helvetica" w:cs="Helvetica"/>
          <w:b/>
        </w:rPr>
        <w:t>I</w:t>
      </w:r>
      <w:r w:rsidR="005178F7">
        <w:rPr>
          <w:rFonts w:ascii="Helvetica" w:hAnsi="Helvetica" w:cs="Helvetica"/>
        </w:rPr>
        <w:t>nformel d'</w:t>
      </w:r>
      <w:proofErr w:type="spellStart"/>
      <w:r w:rsidR="005178F7" w:rsidRPr="005178F7">
        <w:rPr>
          <w:rFonts w:ascii="Helvetica" w:hAnsi="Helvetica" w:cs="Helvetica"/>
          <w:b/>
        </w:rPr>
        <w:t>E</w:t>
      </w:r>
      <w:r w:rsidR="005178F7">
        <w:rPr>
          <w:rFonts w:ascii="Helvetica" w:hAnsi="Helvetica" w:cs="Helvetica"/>
        </w:rPr>
        <w:t>lectro</w:t>
      </w:r>
      <w:r w:rsidR="005178F7" w:rsidRPr="005178F7">
        <w:rPr>
          <w:rFonts w:ascii="Helvetica" w:hAnsi="Helvetica" w:cs="Helvetica"/>
          <w:b/>
        </w:rPr>
        <w:t>M</w:t>
      </w:r>
      <w:r w:rsidR="005178F7">
        <w:rPr>
          <w:rFonts w:ascii="Helvetica" w:hAnsi="Helvetica" w:cs="Helvetica"/>
        </w:rPr>
        <w:t>yo</w:t>
      </w:r>
      <w:r w:rsidR="005178F7" w:rsidRPr="005178F7">
        <w:rPr>
          <w:rFonts w:ascii="Helvetica" w:hAnsi="Helvetica" w:cs="Helvetica"/>
          <w:b/>
        </w:rPr>
        <w:t>G</w:t>
      </w:r>
      <w:r w:rsidR="005178F7">
        <w:rPr>
          <w:rFonts w:ascii="Helvetica" w:hAnsi="Helvetica" w:cs="Helvetica"/>
        </w:rPr>
        <w:t>raphie</w:t>
      </w:r>
      <w:proofErr w:type="spellEnd"/>
      <w:r w:rsidR="005178F7">
        <w:rPr>
          <w:rFonts w:ascii="Helvetica" w:hAnsi="Helvetica" w:cs="Helvetica"/>
        </w:rPr>
        <w:t xml:space="preserve"> </w:t>
      </w:r>
      <w:r w:rsidR="005178F7" w:rsidRPr="005178F7">
        <w:rPr>
          <w:rFonts w:ascii="Helvetica" w:hAnsi="Helvetica" w:cs="Helvetica"/>
          <w:b/>
        </w:rPr>
        <w:t>R</w:t>
      </w:r>
      <w:r w:rsidR="005178F7">
        <w:rPr>
          <w:rFonts w:ascii="Helvetica" w:hAnsi="Helvetica" w:cs="Helvetica"/>
        </w:rPr>
        <w:t xml:space="preserve">hône </w:t>
      </w:r>
      <w:r w:rsidR="005178F7" w:rsidRPr="005178F7">
        <w:rPr>
          <w:rFonts w:ascii="Helvetica" w:hAnsi="Helvetica" w:cs="Helvetica"/>
          <w:b/>
        </w:rPr>
        <w:t>A</w:t>
      </w:r>
      <w:r w:rsidR="005178F7">
        <w:rPr>
          <w:rFonts w:ascii="Helvetica" w:hAnsi="Helvetica" w:cs="Helvetica"/>
        </w:rPr>
        <w:t>lpes)</w:t>
      </w:r>
    </w:p>
    <w:p w:rsidR="00095365" w:rsidRDefault="00095365" w:rsidP="00F84606"/>
    <w:p w:rsidR="00095365" w:rsidRDefault="00095365" w:rsidP="00095365">
      <w:pPr>
        <w:pStyle w:val="Titre2"/>
      </w:pPr>
      <w:r>
        <w:t>Introduction</w:t>
      </w:r>
    </w:p>
    <w:p w:rsidR="00F320EF" w:rsidRDefault="00C05C57" w:rsidP="00095365">
      <w:r>
        <w:t>L</w:t>
      </w:r>
      <w:r w:rsidR="007F34ED">
        <w:t>’étude d</w:t>
      </w:r>
      <w:r w:rsidR="00FA2964">
        <w:t xml:space="preserve">es muscles </w:t>
      </w:r>
      <w:proofErr w:type="spellStart"/>
      <w:r w:rsidR="00FA2964">
        <w:t>antéro-externes</w:t>
      </w:r>
      <w:proofErr w:type="spellEnd"/>
      <w:r w:rsidR="00FA2964">
        <w:t xml:space="preserve"> de la jambe</w:t>
      </w:r>
      <w:r w:rsidR="00F320EF">
        <w:t xml:space="preserve"> (AEJ)</w:t>
      </w:r>
      <w:r>
        <w:t xml:space="preserve"> </w:t>
      </w:r>
      <w:r w:rsidR="00FA2964">
        <w:t xml:space="preserve">est </w:t>
      </w:r>
      <w:r w:rsidR="007F34ED">
        <w:t xml:space="preserve">parfois </w:t>
      </w:r>
      <w:r w:rsidR="00FA2964">
        <w:t xml:space="preserve">plus </w:t>
      </w:r>
      <w:r w:rsidR="00CC0CF5">
        <w:t>judicieuse</w:t>
      </w:r>
      <w:r w:rsidR="00FA2964">
        <w:t xml:space="preserve"> que celle </w:t>
      </w:r>
      <w:r w:rsidR="00CC0CF5">
        <w:t>du</w:t>
      </w:r>
      <w:r w:rsidR="00FA2964">
        <w:t xml:space="preserve"> muscle court extenseur des orteils</w:t>
      </w:r>
      <w:r w:rsidR="00621804">
        <w:t xml:space="preserve"> (CEO)</w:t>
      </w:r>
      <w:r w:rsidR="007F34ED">
        <w:t xml:space="preserve"> (pied tombant, myopathies, myasthénie, atteinte</w:t>
      </w:r>
      <w:r w:rsidR="00F320EF">
        <w:t>s</w:t>
      </w:r>
      <w:r w:rsidR="007F34ED">
        <w:t xml:space="preserve"> nerveuse</w:t>
      </w:r>
      <w:r w:rsidR="00F320EF">
        <w:t>s</w:t>
      </w:r>
      <w:r w:rsidR="007F34ED">
        <w:t xml:space="preserve"> L4-L5)</w:t>
      </w:r>
      <w:r w:rsidR="00977ACE">
        <w:t>.</w:t>
      </w:r>
    </w:p>
    <w:p w:rsidR="00F320EF" w:rsidRDefault="00F320EF" w:rsidP="00F320EF">
      <w:pPr>
        <w:pStyle w:val="Titre2"/>
      </w:pPr>
      <w:r>
        <w:t>Objectif</w:t>
      </w:r>
    </w:p>
    <w:p w:rsidR="00F320EF" w:rsidRDefault="00F320EF" w:rsidP="00F320EF">
      <w:r>
        <w:t xml:space="preserve">L’objectif </w:t>
      </w:r>
      <w:r w:rsidR="00EF613B">
        <w:t>était</w:t>
      </w:r>
      <w:r>
        <w:t xml:space="preserve"> double, d’une part tester notre capacité à travailler en mode multicentrique, et d’autre part établir des valeurs normatives concernant le potentiel d’action global musculaire (PAGM) des AEJ et concernant le décrément du couple fibulaire commun/AEJ, lors de la stimulation nerveuse répétitive (SNR) à 3 Hz.</w:t>
      </w:r>
    </w:p>
    <w:p w:rsidR="00F320EF" w:rsidRDefault="00F320EF" w:rsidP="00F320EF">
      <w:pPr>
        <w:pStyle w:val="Titre2"/>
      </w:pPr>
      <w:r>
        <w:t>Méthode</w:t>
      </w:r>
    </w:p>
    <w:p w:rsidR="00174B3A" w:rsidRPr="00977ACE" w:rsidRDefault="0030103A" w:rsidP="009C1C9A">
      <w:pPr>
        <w:rPr>
          <w:u w:val="single"/>
        </w:rPr>
      </w:pPr>
      <w:r w:rsidRPr="00447164">
        <w:t xml:space="preserve">Treize laboratoires </w:t>
      </w:r>
      <w:r w:rsidR="00EF613B">
        <w:t>furent</w:t>
      </w:r>
      <w:r w:rsidR="00CC0CF5">
        <w:t xml:space="preserve"> sollicités</w:t>
      </w:r>
      <w:r w:rsidRPr="00447164">
        <w:t xml:space="preserve"> (</w:t>
      </w:r>
      <w:r w:rsidR="00447164" w:rsidRPr="00447164">
        <w:t>9</w:t>
      </w:r>
      <w:r w:rsidRPr="00447164">
        <w:t xml:space="preserve"> français, </w:t>
      </w:r>
      <w:r w:rsidR="00447164" w:rsidRPr="00447164">
        <w:t>3</w:t>
      </w:r>
      <w:r w:rsidRPr="00447164">
        <w:t xml:space="preserve"> suisses, 1 belge). La méthode d’enregistrement du PAGM des AEJ </w:t>
      </w:r>
      <w:r w:rsidR="00EF613B">
        <w:t>fit</w:t>
      </w:r>
      <w:r w:rsidRPr="00447164">
        <w:t xml:space="preserve"> l’obje</w:t>
      </w:r>
      <w:r w:rsidR="00677C09">
        <w:t xml:space="preserve">t d’une concertation </w:t>
      </w:r>
      <w:r w:rsidR="00EF613B">
        <w:t xml:space="preserve">générale </w:t>
      </w:r>
      <w:r w:rsidR="00677C09">
        <w:t xml:space="preserve">préalable </w:t>
      </w:r>
      <w:r w:rsidRPr="00447164">
        <w:t xml:space="preserve">par courrier électronique et </w:t>
      </w:r>
      <w:proofErr w:type="spellStart"/>
      <w:r w:rsidRPr="00EF613B">
        <w:rPr>
          <w:i/>
        </w:rPr>
        <w:t>doodle</w:t>
      </w:r>
      <w:proofErr w:type="spellEnd"/>
      <w:r w:rsidRPr="00447164">
        <w:t>.</w:t>
      </w:r>
      <w:r w:rsidR="00EF613B">
        <w:t xml:space="preserve"> Une majorité se dégagea</w:t>
      </w:r>
      <w:r w:rsidR="00447164" w:rsidRPr="00447164">
        <w:t xml:space="preserve"> pour étudier ce PAGM de la façon suiv</w:t>
      </w:r>
      <w:r w:rsidR="00C05C57">
        <w:t>ante : électrode détectrice active</w:t>
      </w:r>
      <w:r w:rsidR="00447164" w:rsidRPr="00447164">
        <w:t> </w:t>
      </w:r>
      <w:r w:rsidR="00B71F77">
        <w:t xml:space="preserve">(G1) </w:t>
      </w:r>
      <w:r w:rsidR="00447164" w:rsidRPr="00447164">
        <w:t>au 1/3 de la distance entre le sommet de la tubérosité tibiale antérieure (TTA) et le sommet de la</w:t>
      </w:r>
      <w:r w:rsidR="00977ACE">
        <w:t xml:space="preserve"> malléole interne et </w:t>
      </w:r>
      <w:r w:rsidR="00CC0CF5">
        <w:t>à 3 cm en dehors de la crête tibiale</w:t>
      </w:r>
      <w:r w:rsidR="00B71F77">
        <w:t xml:space="preserve"> </w:t>
      </w:r>
      <w:r w:rsidR="00447164" w:rsidRPr="00447164">
        <w:t xml:space="preserve">; </w:t>
      </w:r>
      <w:r w:rsidR="00C05C57">
        <w:t>électrode de référence</w:t>
      </w:r>
      <w:r w:rsidR="009C1C9A" w:rsidRPr="009C1C9A">
        <w:t> </w:t>
      </w:r>
      <w:r w:rsidR="00B71F77">
        <w:t xml:space="preserve">(G2) </w:t>
      </w:r>
      <w:r w:rsidR="009C1C9A" w:rsidRPr="009C1C9A">
        <w:t>: sur la TTA</w:t>
      </w:r>
      <w:r w:rsidR="009C1C9A">
        <w:t xml:space="preserve"> ; </w:t>
      </w:r>
      <w:r w:rsidR="009C1C9A" w:rsidRPr="009C1C9A">
        <w:t>électrode terre : sur une surface glabre.</w:t>
      </w:r>
      <w:r w:rsidR="009C1C9A">
        <w:t xml:space="preserve"> Le nerf fibulaire commun </w:t>
      </w:r>
      <w:r w:rsidR="00C24013">
        <w:t>était</w:t>
      </w:r>
      <w:r w:rsidR="009C1C9A">
        <w:t xml:space="preserve"> d’abord stimulé sous la tête de la </w:t>
      </w:r>
      <w:proofErr w:type="spellStart"/>
      <w:r w:rsidR="009C1C9A" w:rsidRPr="00761B6C">
        <w:rPr>
          <w:i/>
        </w:rPr>
        <w:t>fibula</w:t>
      </w:r>
      <w:proofErr w:type="spellEnd"/>
      <w:r w:rsidR="009C1C9A">
        <w:t xml:space="preserve"> et ensuite 10 c</w:t>
      </w:r>
      <w:r w:rsidR="00977ACE">
        <w:t xml:space="preserve">m </w:t>
      </w:r>
      <w:proofErr w:type="spellStart"/>
      <w:r w:rsidR="00977ACE">
        <w:t>proximalement</w:t>
      </w:r>
      <w:proofErr w:type="spellEnd"/>
      <w:r w:rsidR="009C1C9A">
        <w:t>.</w:t>
      </w:r>
      <w:r w:rsidR="00677C09">
        <w:t xml:space="preserve"> Chaque laboratoire était invité à étudier </w:t>
      </w:r>
      <w:r w:rsidR="0082043B">
        <w:t>20</w:t>
      </w:r>
      <w:r w:rsidR="00677C09">
        <w:t xml:space="preserve"> sujets (patient</w:t>
      </w:r>
      <w:r w:rsidR="0082043B">
        <w:t>s</w:t>
      </w:r>
      <w:r w:rsidR="00677C09">
        <w:t xml:space="preserve"> sain</w:t>
      </w:r>
      <w:r w:rsidR="0082043B">
        <w:t>s</w:t>
      </w:r>
      <w:r w:rsidR="00677C09">
        <w:t xml:space="preserve"> ou volontaire</w:t>
      </w:r>
      <w:r w:rsidR="0082043B">
        <w:t>s</w:t>
      </w:r>
      <w:r w:rsidR="00677C09">
        <w:t xml:space="preserve">) </w:t>
      </w:r>
      <w:r w:rsidR="0082043B">
        <w:t>bilatéralement dont</w:t>
      </w:r>
      <w:r w:rsidR="00677C09">
        <w:t xml:space="preserve"> 7 </w:t>
      </w:r>
      <w:r w:rsidR="0082043B">
        <w:t xml:space="preserve">sujets (volontaires) </w:t>
      </w:r>
      <w:r w:rsidR="00677C09">
        <w:t xml:space="preserve">à 2 reprises pour </w:t>
      </w:r>
      <w:r w:rsidR="00EF613B">
        <w:t>évaluer</w:t>
      </w:r>
      <w:r w:rsidR="00677C09">
        <w:t xml:space="preserve"> la reproductibilité des paramètres mesurés.</w:t>
      </w:r>
      <w:r w:rsidR="0082043B">
        <w:t xml:space="preserve"> Pour couvrir toutes les tranches d’âge</w:t>
      </w:r>
      <w:r w:rsidR="00EF613B">
        <w:t xml:space="preserve"> et assurer la parité homme/femme</w:t>
      </w:r>
      <w:r w:rsidR="0082043B">
        <w:t>, un tirage au sort</w:t>
      </w:r>
      <w:r w:rsidR="00C24013">
        <w:t xml:space="preserve"> attribua</w:t>
      </w:r>
      <w:r w:rsidR="00EF613B">
        <w:t>, à chaque laboratoire, le nombre d’hommes et de femmes à étudier dans chacune des 7 tranches d’âge prédéfinies entre 20 et 89 ans.</w:t>
      </w:r>
      <w:r w:rsidR="00761B6C">
        <w:t xml:space="preserve"> Les paramètres non électrophysiologiques comprenaient : l’âge, la taille, le p</w:t>
      </w:r>
      <w:r w:rsidR="00761B6C" w:rsidRPr="00761B6C">
        <w:t>o</w:t>
      </w:r>
      <w:r w:rsidR="00761B6C">
        <w:t>ids, la d</w:t>
      </w:r>
      <w:r w:rsidR="00761B6C" w:rsidRPr="00761B6C">
        <w:t>i</w:t>
      </w:r>
      <w:r w:rsidR="00761B6C">
        <w:t xml:space="preserve">stance </w:t>
      </w:r>
      <w:proofErr w:type="spellStart"/>
      <w:r w:rsidR="00761B6C">
        <w:t>TTA-malléole</w:t>
      </w:r>
      <w:proofErr w:type="spellEnd"/>
      <w:r w:rsidR="00761B6C">
        <w:t xml:space="preserve"> interne et la </w:t>
      </w:r>
      <w:r w:rsidR="00761B6C" w:rsidRPr="00761B6C">
        <w:t xml:space="preserve">circonférence du segment jambier passant par </w:t>
      </w:r>
      <w:r w:rsidR="00B71F77">
        <w:t>G1</w:t>
      </w:r>
      <w:r w:rsidR="00761B6C">
        <w:t>.</w:t>
      </w:r>
      <w:r w:rsidR="00EF613B">
        <w:t xml:space="preserve"> </w:t>
      </w:r>
    </w:p>
    <w:p w:rsidR="00174B3A" w:rsidRDefault="00174B3A" w:rsidP="00174B3A">
      <w:pPr>
        <w:pStyle w:val="Titre2"/>
      </w:pPr>
      <w:r>
        <w:t>Résultats</w:t>
      </w:r>
    </w:p>
    <w:p w:rsidR="002A429A" w:rsidRDefault="00893168" w:rsidP="002357B5">
      <w:r>
        <w:t>Sept laboratoires rendirent des résultats concernant le PAGM des AEJ (45 femmes et 46 hommes âgés de 17 à 87 ans) dont 4 participèrent à l’étude de reproductibi</w:t>
      </w:r>
      <w:r w:rsidR="00D8464C">
        <w:t>li</w:t>
      </w:r>
      <w:r>
        <w:t>té (n=19). Sept laboratoires étudièrent le décrément du PAG</w:t>
      </w:r>
      <w:r w:rsidR="005546A3">
        <w:t xml:space="preserve">M des AEJ lors de la SNR à 3 Hz </w:t>
      </w:r>
      <w:r>
        <w:t>(n=92).</w:t>
      </w:r>
      <w:r w:rsidR="0089293F">
        <w:br/>
      </w:r>
      <w:r w:rsidR="002A429A">
        <w:t xml:space="preserve">Les valeurs de référence sont les suivantes (entre parenthèses = la limite supérieure de la différence gauche/droite) : latence distale motrice </w:t>
      </w:r>
      <w:r w:rsidR="002A429A">
        <w:rPr>
          <w:rFonts w:ascii="Cambria" w:hAnsi="Cambria"/>
        </w:rPr>
        <w:t>&lt;</w:t>
      </w:r>
      <w:r w:rsidR="002A429A">
        <w:t xml:space="preserve"> 4,0 ms (1,2) ; latence proximale motrice </w:t>
      </w:r>
      <w:r w:rsidR="002A429A">
        <w:rPr>
          <w:rFonts w:ascii="Cambria" w:hAnsi="Cambria"/>
        </w:rPr>
        <w:t xml:space="preserve">&lt; 5,7 ms (1,1) ; </w:t>
      </w:r>
      <w:r w:rsidR="002A429A">
        <w:t xml:space="preserve">vitesse de conduction motrice </w:t>
      </w:r>
      <w:r w:rsidR="002A429A">
        <w:rPr>
          <w:rFonts w:ascii="Cambria" w:hAnsi="Cambria"/>
        </w:rPr>
        <w:t xml:space="preserve">&gt; 47,5 (21,4) ; amplitude distale &gt; 4,4 mV (1,8) ; amplitude proximale &gt; 4,4 mV (2,0) ; surface distale &gt; 22,9 </w:t>
      </w:r>
      <w:proofErr w:type="spellStart"/>
      <w:r w:rsidR="002A429A">
        <w:rPr>
          <w:rFonts w:ascii="Cambria" w:hAnsi="Cambria"/>
        </w:rPr>
        <w:t>mV.ms</w:t>
      </w:r>
      <w:proofErr w:type="spellEnd"/>
      <w:r w:rsidR="002A429A">
        <w:rPr>
          <w:rFonts w:ascii="Cambria" w:hAnsi="Cambria"/>
        </w:rPr>
        <w:t xml:space="preserve"> (11,2) ; surface proximale &gt; 18,6 </w:t>
      </w:r>
      <w:proofErr w:type="spellStart"/>
      <w:r w:rsidR="002A429A">
        <w:rPr>
          <w:rFonts w:ascii="Cambria" w:hAnsi="Cambria"/>
        </w:rPr>
        <w:t>mV.ms</w:t>
      </w:r>
      <w:proofErr w:type="spellEnd"/>
      <w:r w:rsidR="002A429A">
        <w:rPr>
          <w:rFonts w:ascii="Cambria" w:hAnsi="Cambria"/>
        </w:rPr>
        <w:t xml:space="preserve"> (8,1) ; durée distale &lt; 12,0 ms (2,1) ; durée proximale &lt; 12,1 ms (2,3) ; décrément en amplitude &lt; 8 % ; décrément en surface &lt; 15%.</w:t>
      </w:r>
    </w:p>
    <w:p w:rsidR="002A429A" w:rsidRDefault="002A429A" w:rsidP="002357B5"/>
    <w:p w:rsidR="00B53BD7" w:rsidRDefault="00DE3394" w:rsidP="002A429A">
      <w:pPr>
        <w:pStyle w:val="Titre2"/>
      </w:pPr>
      <w:r>
        <w:t xml:space="preserve">Discussion </w:t>
      </w:r>
      <w:r w:rsidR="00B53BD7">
        <w:t>–</w:t>
      </w:r>
      <w:r>
        <w:t xml:space="preserve"> conclusion</w:t>
      </w:r>
    </w:p>
    <w:p w:rsidR="009C1C9A" w:rsidRPr="00B53BD7" w:rsidRDefault="00B53BD7" w:rsidP="00B53BD7">
      <w:r>
        <w:t xml:space="preserve">Ce premier protocole d’étude multicentrique, </w:t>
      </w:r>
      <w:r w:rsidR="00761B6C">
        <w:t>réalisé par les membres du</w:t>
      </w:r>
      <w:r>
        <w:t xml:space="preserve"> GIEMGRA, était probablement trop</w:t>
      </w:r>
      <w:r w:rsidR="0089293F">
        <w:t xml:space="preserve"> exigeant en nombre de sujets à recruter et en nombre de paramètres à mesurer. Néanmoins, en moins d’un an, plus de 90 sujets permirent l’établissement de valeurs normatives du PAGM des AEJ.</w:t>
      </w:r>
      <w:r w:rsidR="003818C0">
        <w:t xml:space="preserve"> </w:t>
      </w:r>
    </w:p>
    <w:p w:rsidR="009C1C9A" w:rsidRPr="00D34400" w:rsidRDefault="009C1C9A" w:rsidP="009C1C9A"/>
    <w:p w:rsidR="007F34ED" w:rsidRPr="00447164" w:rsidRDefault="007F34ED" w:rsidP="00447164"/>
    <w:p w:rsidR="009E61AA" w:rsidRPr="00095365" w:rsidRDefault="009E61AA" w:rsidP="00095365"/>
    <w:sectPr w:rsidR="009E61AA" w:rsidRPr="00095365" w:rsidSect="009E61AA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7466C"/>
    <w:multiLevelType w:val="multilevel"/>
    <w:tmpl w:val="5E72AF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725F5"/>
    <w:rsid w:val="00095365"/>
    <w:rsid w:val="00156A3D"/>
    <w:rsid w:val="00174B3A"/>
    <w:rsid w:val="002357B5"/>
    <w:rsid w:val="00244EA7"/>
    <w:rsid w:val="002760E3"/>
    <w:rsid w:val="002A429A"/>
    <w:rsid w:val="002F2BD9"/>
    <w:rsid w:val="0030103A"/>
    <w:rsid w:val="00343CF0"/>
    <w:rsid w:val="003523FC"/>
    <w:rsid w:val="00355F22"/>
    <w:rsid w:val="00370C26"/>
    <w:rsid w:val="003818C0"/>
    <w:rsid w:val="00447164"/>
    <w:rsid w:val="004F38F4"/>
    <w:rsid w:val="004F646F"/>
    <w:rsid w:val="005178F7"/>
    <w:rsid w:val="00551385"/>
    <w:rsid w:val="005546A3"/>
    <w:rsid w:val="00621804"/>
    <w:rsid w:val="00677C09"/>
    <w:rsid w:val="006F03D6"/>
    <w:rsid w:val="00701CA2"/>
    <w:rsid w:val="00761B6C"/>
    <w:rsid w:val="007C3A1C"/>
    <w:rsid w:val="007F34ED"/>
    <w:rsid w:val="0082043B"/>
    <w:rsid w:val="00863C12"/>
    <w:rsid w:val="0089293F"/>
    <w:rsid w:val="00893168"/>
    <w:rsid w:val="0093588B"/>
    <w:rsid w:val="00977ACE"/>
    <w:rsid w:val="009C1C9A"/>
    <w:rsid w:val="009E61AA"/>
    <w:rsid w:val="009E7307"/>
    <w:rsid w:val="00A62441"/>
    <w:rsid w:val="00B53BD7"/>
    <w:rsid w:val="00B71F77"/>
    <w:rsid w:val="00BB4C36"/>
    <w:rsid w:val="00C00690"/>
    <w:rsid w:val="00C05C57"/>
    <w:rsid w:val="00C22D24"/>
    <w:rsid w:val="00C24013"/>
    <w:rsid w:val="00CC0CF5"/>
    <w:rsid w:val="00CF2C5D"/>
    <w:rsid w:val="00D83227"/>
    <w:rsid w:val="00D8464C"/>
    <w:rsid w:val="00D943F6"/>
    <w:rsid w:val="00DA3FC3"/>
    <w:rsid w:val="00DB21C0"/>
    <w:rsid w:val="00DE3394"/>
    <w:rsid w:val="00E725F5"/>
    <w:rsid w:val="00EC18D8"/>
    <w:rsid w:val="00EE70E9"/>
    <w:rsid w:val="00EF613B"/>
    <w:rsid w:val="00F320EF"/>
    <w:rsid w:val="00F32375"/>
    <w:rsid w:val="00F54511"/>
    <w:rsid w:val="00F84606"/>
    <w:rsid w:val="00FA2964"/>
    <w:rsid w:val="00FA7F07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255"/>
  </w:style>
  <w:style w:type="paragraph" w:styleId="Titre1">
    <w:name w:val="heading 1"/>
    <w:basedOn w:val="Normal"/>
    <w:next w:val="Normal"/>
    <w:link w:val="Titre1Car"/>
    <w:uiPriority w:val="9"/>
    <w:qFormat/>
    <w:rsid w:val="00E725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953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725F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US"/>
    </w:rPr>
  </w:style>
  <w:style w:type="character" w:customStyle="1" w:styleId="Titre2Car">
    <w:name w:val="Titre 2 Car"/>
    <w:basedOn w:val="Policepardfaut"/>
    <w:link w:val="Titre2"/>
    <w:uiPriority w:val="9"/>
    <w:rsid w:val="000953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447164"/>
    <w:pPr>
      <w:ind w:left="720"/>
      <w:contextualSpacing/>
    </w:pPr>
  </w:style>
  <w:style w:type="table" w:styleId="Grille">
    <w:name w:val="Table Grid"/>
    <w:basedOn w:val="TableauNormal"/>
    <w:uiPriority w:val="59"/>
    <w:rsid w:val="00FA7F0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447</Words>
  <Characters>2548</Characters>
  <Application>Microsoft Macintosh Word</Application>
  <DocSecurity>0</DocSecurity>
  <Lines>21</Lines>
  <Paragraphs>5</Paragraphs>
  <ScaleCrop>false</ScaleCrop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Wang</dc:creator>
  <cp:keywords/>
  <cp:lastModifiedBy>Francois Wang</cp:lastModifiedBy>
  <cp:revision>2</cp:revision>
  <cp:lastPrinted>2012-03-16T16:37:00Z</cp:lastPrinted>
  <dcterms:created xsi:type="dcterms:W3CDTF">2012-03-30T07:49:00Z</dcterms:created>
  <dcterms:modified xsi:type="dcterms:W3CDTF">2012-03-30T07:49:00Z</dcterms:modified>
</cp:coreProperties>
</file>