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80" w:rsidRPr="00AD5A80" w:rsidRDefault="00AD5A80" w:rsidP="00AD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D5A8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fr-FR"/>
        </w:rPr>
        <w:t>Blood</w:t>
      </w:r>
      <w:r w:rsidRPr="00AD5A80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fr-FR"/>
        </w:rPr>
        <w:t xml:space="preserve"> (ASH Annual Meeting Abstracts) 2006 108: Abstract 1647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AD5A80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fr-FR"/>
        </w:rPr>
        <w:t xml:space="preserve">© 2006 </w:t>
      </w:r>
      <w:hyperlink r:id="rId4" w:history="1">
        <w:r w:rsidRPr="00AD5A80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fr-FR"/>
          </w:rPr>
          <w:t>American Society of Hematology</w:t>
        </w:r>
      </w:hyperlink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5A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Poster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#-Session: 775-I </w:t>
      </w:r>
    </w:p>
    <w:p w:rsidR="00AD5A80" w:rsidRPr="00AD5A80" w:rsidRDefault="00AD5A80" w:rsidP="00AD5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gramStart"/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New Role for ATP P2X</w:t>
      </w:r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Receptors in the Control of </w:t>
      </w:r>
      <w:proofErr w:type="spellStart"/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Apoptosis and Respiratory Burst Activity.</w:t>
      </w:r>
      <w:proofErr w:type="gramEnd"/>
      <w:r w:rsidRPr="00AD5A8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</w:p>
    <w:p w:rsidR="00AD5A80" w:rsidRPr="00AD5A80" w:rsidRDefault="00AD5A80" w:rsidP="00AD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Celine Faccinetto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1</w:t>
      </w:r>
      <w:bookmarkStart w:id="0" w:name="RFN1"/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,*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Christelle Lecut, PhD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1,*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, Roland </w:t>
      </w:r>
      <w:proofErr w:type="spellStart"/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Greimers</w:t>
      </w:r>
      <w:proofErr w:type="spellEnd"/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PhD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2,*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Vincent Bours, MD PhD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1,*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and Cecile </w:t>
      </w:r>
      <w:r w:rsidRPr="00AD5A80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 w:eastAsia="fr-FR"/>
        </w:rPr>
        <w:t>Oury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PhD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1</w:t>
      </w:r>
      <w:bookmarkEnd w:id="0"/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,*</w:t>
      </w:r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(Intr. by Yves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Beguin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) </w:t>
      </w:r>
      <w:r w:rsidRPr="00AD5A80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Human Genetics, CBIG, University of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Liège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Liège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Belgium and </w:t>
      </w:r>
      <w:r w:rsidRPr="00AD5A80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FR"/>
        </w:rPr>
        <w:t>2</w:t>
      </w:r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Department of Anatomy and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Cytopathology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University of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Liège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</w:t>
      </w:r>
      <w:proofErr w:type="spellStart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Liège</w:t>
      </w:r>
      <w:proofErr w:type="spellEnd"/>
      <w:r w:rsidRPr="00AD5A8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Belgium. 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5A80">
        <w:rPr>
          <w:rFonts w:ascii="Times New Roman" w:eastAsia="Times New Roman" w:hAnsi="Times New Roman" w:cs="Times New Roman"/>
          <w:b/>
          <w:bCs/>
          <w:sz w:val="27"/>
          <w:lang w:eastAsia="fr-FR"/>
        </w:rPr>
        <w:t>Abstract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P2X receptors are membrane non-selective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cation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channels that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open in response to the binding of extracellular ATP. Seven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genes encode P2X receptor subunits (P2X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1–7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in vertebrates.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Channels form homo- or hetero-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multimers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several subunits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that are highly permeable to Ca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2+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P2X receptors are widely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distributed. In recent years, increasing attention has been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paid to extracellular ATP as a candidate danger signal locally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released at the inception of inflammation. One of the most striking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features of ATP is its ability to promote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7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receptor-mediated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massive release of mature IL-1ß from LPS-primed mononuclear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phagocytes. On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ATP 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rises</w:t>
      </w:r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intracellular Ca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2+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concentrations,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contributes to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degranulation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adhesion, oxidative burst and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delays apoptosis, events that may partly depend on the G-protein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coupled P2Y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 and on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7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In the present work, RT-PCR,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Western blotting and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immunofluorescence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experiments reveal that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also express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5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 subtypes. A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microarray analysis indicates that a 3-hour treatment of human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peripheral blood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the selective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1/5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receptor agonist,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,ß</w:t>
      </w:r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-meATP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changes the expression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genes mainly involved in the control of cell fate. Accordingly,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this agonist causes an increase of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phosphatidylserine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exposure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membranes, maximally occurring after 3 hours and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lasting until 18 hours of culture. In the presence of the protein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synthesis inhibitor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cycloheximide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,ß</w:t>
      </w:r>
      <w:proofErr w:type="spellEnd"/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promotes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caspase-3-dependent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apoptosis after 3 hours, which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is correlated with highly reduced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Fc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5725" cy="104775"/>
            <wp:effectExtent l="19050" t="0" r="9525" b="0"/>
            <wp:docPr id="27" name="Image 27" descr="{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{gamm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RIII (CD16) membrane expression.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addition, a 1 min pretreatment of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,ß</w:t>
      </w:r>
      <w:proofErr w:type="spellEnd"/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potently increases tumor necrosis factor-a (TNF-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57150"/>
            <wp:effectExtent l="19050" t="0" r="0" b="0"/>
            <wp:docPr id="28" name="Image 28" descr="{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{alpha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)-driven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priming (30 min) of the respiratory burst induced by the bacterially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derived peptide N-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formyl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methionyl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leucyl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-phenylalanine (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fMLP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Furthermore,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,ß</w:t>
      </w:r>
      <w:proofErr w:type="spellEnd"/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meATP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produces L-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selectin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(CD62L)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shedding by its own and in an additive manner with TNF-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57150"/>
            <wp:effectExtent l="19050" t="0" r="0" b="0"/>
            <wp:docPr id="29" name="Image 29" descr="{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{alpha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. This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agonist also induces rapid and reversible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phosphorylation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survival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kinases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ERK (starting after 2 min) and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Akt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(15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min) as well as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phosphorylation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degradation (after 2 min)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</w:t>
      </w:r>
      <w:proofErr w:type="gram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gram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675" cy="57150"/>
            <wp:effectExtent l="19050" t="0" r="9525" b="0"/>
            <wp:docPr id="30" name="Image 30" descr="{kapp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{kappa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6200" cy="57150"/>
            <wp:effectExtent l="19050" t="0" r="0" b="0"/>
            <wp:docPr id="31" name="Image 31" descr="{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{alpha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, an inhibitor of the anti-apoptotic transcription factor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NF-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675" cy="57150"/>
            <wp:effectExtent l="19050" t="0" r="9525" b="0"/>
            <wp:docPr id="32" name="Image 32" descr="{kapp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kappa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B. Hence,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receptors might have a dual role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inflammation; they would both contribute to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activation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and promote cell death of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neutrophils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have reached the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end of their useful life span. Activation of P2X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receptors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by extracellular ATP may thus represent novel regulatory mechanisms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that govern </w:t>
      </w:r>
      <w:proofErr w:type="spellStart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neutrophil</w:t>
      </w:r>
      <w:proofErr w:type="spellEnd"/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function.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D5A80">
        <w:rPr>
          <w:rFonts w:ascii="Times New Roman" w:eastAsia="Times New Roman" w:hAnsi="Times New Roman" w:cs="Times New Roman"/>
          <w:b/>
          <w:bCs/>
          <w:sz w:val="27"/>
          <w:lang w:val="en-US" w:eastAsia="fr-FR"/>
        </w:rPr>
        <w:t>Footnotes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" w:name="FN1"/>
      <w:bookmarkEnd w:id="1"/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lastRenderedPageBreak/>
        <w:t>*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Corresponding author</w:t>
      </w:r>
      <w:r w:rsidRPr="00AD5A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</w:p>
    <w:p w:rsidR="00AD5A80" w:rsidRPr="00AD5A80" w:rsidRDefault="00AD5A80" w:rsidP="00AD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2" w:name=""/>
      <w:bookmarkEnd w:id="2"/>
      <w:r w:rsidRPr="00AD5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Disclosure:</w:t>
      </w:r>
      <w:r w:rsidRPr="00AD5A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relevant conflicts of interest to declare.</w:t>
      </w:r>
    </w:p>
    <w:p w:rsidR="00657178" w:rsidRPr="00AD5A80" w:rsidRDefault="00657178">
      <w:pPr>
        <w:rPr>
          <w:lang w:val="en-US"/>
        </w:rPr>
      </w:pPr>
    </w:p>
    <w:sectPr w:rsidR="00657178" w:rsidRPr="00AD5A80" w:rsidSect="0065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AD5A80"/>
    <w:rsid w:val="00657178"/>
    <w:rsid w:val="009345FE"/>
    <w:rsid w:val="009E1A6B"/>
    <w:rsid w:val="00AD5A80"/>
    <w:rsid w:val="00F8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8"/>
  </w:style>
  <w:style w:type="paragraph" w:styleId="Titre2">
    <w:name w:val="heading 2"/>
    <w:basedOn w:val="Normal"/>
    <w:link w:val="Titre2Car"/>
    <w:uiPriority w:val="9"/>
    <w:qFormat/>
    <w:rsid w:val="00AD5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D5A8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D5A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D5A8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hematology.org/meetings/abstract_rights.c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2800</Characters>
  <Application>Microsoft Office Word</Application>
  <DocSecurity>0</DocSecurity>
  <Lines>23</Lines>
  <Paragraphs>6</Paragraphs>
  <ScaleCrop>false</ScaleCrop>
  <Company> 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2010-02-16T11:38:00Z</dcterms:created>
  <dcterms:modified xsi:type="dcterms:W3CDTF">2010-02-16T11:39:00Z</dcterms:modified>
</cp:coreProperties>
</file>