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F2" w:rsidRPr="0041042A" w:rsidRDefault="00B32FF2" w:rsidP="00B32FF2">
      <w:pPr>
        <w:spacing w:before="100" w:beforeAutospacing="1" w:after="100" w:afterAutospacing="1" w:line="276" w:lineRule="auto"/>
        <w:jc w:val="center"/>
        <w:rPr>
          <w:b/>
          <w:bCs/>
        </w:rPr>
      </w:pPr>
      <w:r w:rsidRPr="0041042A">
        <w:rPr>
          <w:b/>
          <w:bCs/>
        </w:rPr>
        <w:t>Chapter introductions and conclusions</w:t>
      </w:r>
    </w:p>
    <w:p w:rsidR="00390CFC" w:rsidRDefault="00390CFC" w:rsidP="00B32FF2">
      <w:pPr>
        <w:pStyle w:val="Titre1"/>
        <w:spacing w:before="100" w:beforeAutospacing="1" w:after="100" w:afterAutospacing="1" w:line="276" w:lineRule="auto"/>
        <w:jc w:val="both"/>
        <w:rPr>
          <w:sz w:val="24"/>
        </w:rPr>
      </w:pPr>
      <w:bookmarkStart w:id="0" w:name="_Toc282612844"/>
    </w:p>
    <w:p w:rsidR="00B32FF2" w:rsidRPr="0041042A" w:rsidRDefault="00B32FF2" w:rsidP="00B32FF2">
      <w:pPr>
        <w:pStyle w:val="Titre1"/>
        <w:spacing w:before="100" w:beforeAutospacing="1" w:after="100" w:afterAutospacing="1" w:line="276" w:lineRule="auto"/>
        <w:jc w:val="both"/>
        <w:rPr>
          <w:sz w:val="24"/>
        </w:rPr>
      </w:pPr>
      <w:r w:rsidRPr="0041042A">
        <w:rPr>
          <w:sz w:val="24"/>
        </w:rPr>
        <w:t xml:space="preserve">Chapter 1 </w:t>
      </w:r>
      <w:r w:rsidR="001247E3">
        <w:rPr>
          <w:sz w:val="24"/>
        </w:rPr>
        <w:t>– Fair Trade: a hybrid</w:t>
      </w:r>
      <w:r w:rsidRPr="0041042A">
        <w:rPr>
          <w:sz w:val="24"/>
        </w:rPr>
        <w:t xml:space="preserve"> concept and practice</w:t>
      </w:r>
      <w:bookmarkEnd w:id="0"/>
      <w:r w:rsidRPr="0041042A">
        <w:rPr>
          <w:sz w:val="24"/>
        </w:rPr>
        <w:t xml:space="preserve">   </w:t>
      </w:r>
    </w:p>
    <w:p w:rsidR="0041042A" w:rsidRPr="009936B2" w:rsidRDefault="001247E3" w:rsidP="00F36998">
      <w:pPr>
        <w:spacing w:before="100" w:beforeAutospacing="1" w:after="100" w:afterAutospacing="1"/>
      </w:pPr>
      <w:r>
        <w:rPr>
          <w:bCs/>
        </w:rPr>
        <w:t>This chapter starts with examining</w:t>
      </w:r>
      <w:r w:rsidR="00B32FF2" w:rsidRPr="0041042A">
        <w:rPr>
          <w:bCs/>
        </w:rPr>
        <w:t xml:space="preserve"> the history of Fair Trade </w:t>
      </w:r>
      <w:smartTag w:uri="isiresearchsoft-com/cwyw" w:element="citation">
        <w:r w:rsidR="00B32FF2" w:rsidRPr="0041042A">
          <w:rPr>
            <w:bCs/>
          </w:rPr>
          <w:t>(FT)</w:t>
        </w:r>
      </w:smartTag>
      <w:r w:rsidR="00B32FF2" w:rsidRPr="0041042A">
        <w:rPr>
          <w:bCs/>
        </w:rPr>
        <w:t xml:space="preserve">. FT is </w:t>
      </w:r>
      <w:r>
        <w:rPr>
          <w:bCs/>
        </w:rPr>
        <w:t xml:space="preserve">then </w:t>
      </w:r>
      <w:r w:rsidR="00B32FF2" w:rsidRPr="0041042A">
        <w:rPr>
          <w:bCs/>
        </w:rPr>
        <w:t xml:space="preserve">interpreted as </w:t>
      </w:r>
      <w:r>
        <w:rPr>
          <w:bCs/>
        </w:rPr>
        <w:t xml:space="preserve">a hybrid notion </w:t>
      </w:r>
      <w:r w:rsidR="00B32FF2" w:rsidRPr="0041042A">
        <w:rPr>
          <w:bCs/>
        </w:rPr>
        <w:t>composed of economic</w:t>
      </w:r>
      <w:r>
        <w:rPr>
          <w:bCs/>
        </w:rPr>
        <w:t>,</w:t>
      </w:r>
      <w:r w:rsidR="00B32FF2" w:rsidRPr="0041042A">
        <w:rPr>
          <w:bCs/>
        </w:rPr>
        <w:t xml:space="preserve"> social and political </w:t>
      </w:r>
      <w:r>
        <w:rPr>
          <w:bCs/>
        </w:rPr>
        <w:t>dimensions</w:t>
      </w:r>
      <w:r w:rsidR="00B32FF2" w:rsidRPr="0041042A">
        <w:rPr>
          <w:bCs/>
        </w:rPr>
        <w:t>. The need for original organizational mode</w:t>
      </w:r>
      <w:r>
        <w:rPr>
          <w:bCs/>
        </w:rPr>
        <w:t>ls enabling</w:t>
      </w:r>
      <w:r w:rsidR="00456360">
        <w:rPr>
          <w:bCs/>
        </w:rPr>
        <w:t xml:space="preserve"> the pursuit of </w:t>
      </w:r>
      <w:r>
        <w:rPr>
          <w:bCs/>
        </w:rPr>
        <w:t xml:space="preserve">these </w:t>
      </w:r>
      <w:r w:rsidR="00456360">
        <w:rPr>
          <w:bCs/>
        </w:rPr>
        <w:t xml:space="preserve">hybrid goals </w:t>
      </w:r>
      <w:r>
        <w:rPr>
          <w:bCs/>
        </w:rPr>
        <w:t xml:space="preserve">is </w:t>
      </w:r>
      <w:r w:rsidR="00B32FF2" w:rsidRPr="0041042A">
        <w:rPr>
          <w:bCs/>
        </w:rPr>
        <w:t>highlighted</w:t>
      </w:r>
      <w:r w:rsidR="00456360">
        <w:rPr>
          <w:bCs/>
        </w:rPr>
        <w:t xml:space="preserve"> based on the study of </w:t>
      </w:r>
      <w:r>
        <w:rPr>
          <w:bCs/>
        </w:rPr>
        <w:t>four</w:t>
      </w:r>
      <w:r w:rsidR="00456360">
        <w:rPr>
          <w:bCs/>
        </w:rPr>
        <w:t xml:space="preserve"> affiliated concepts</w:t>
      </w:r>
      <w:r>
        <w:rPr>
          <w:bCs/>
        </w:rPr>
        <w:t>: the cooperative movement, t</w:t>
      </w:r>
      <w:r w:rsidR="0041042A" w:rsidRPr="009936B2">
        <w:t>he social economy</w:t>
      </w:r>
      <w:r>
        <w:t>, t</w:t>
      </w:r>
      <w:r w:rsidR="0041042A" w:rsidRPr="009936B2">
        <w:t xml:space="preserve">he solidarity economy </w:t>
      </w:r>
      <w:r>
        <w:t>and social entrepreneurship/social enterprise</w:t>
      </w:r>
      <w:r w:rsidR="0041042A" w:rsidRPr="009936B2">
        <w:t>.</w:t>
      </w:r>
      <w:r>
        <w:t xml:space="preserve"> Although all four concepts contribute</w:t>
      </w:r>
      <w:r w:rsidR="0041042A" w:rsidRPr="009936B2">
        <w:t xml:space="preserve"> to shed light on </w:t>
      </w:r>
      <w:r>
        <w:t xml:space="preserve">how pursuing hybrid goals implies adopting specific </w:t>
      </w:r>
      <w:r w:rsidR="0041042A" w:rsidRPr="009936B2">
        <w:t xml:space="preserve">organizational </w:t>
      </w:r>
      <w:r w:rsidR="00456360">
        <w:t>model</w:t>
      </w:r>
      <w:r w:rsidR="0041042A" w:rsidRPr="009936B2">
        <w:t>s</w:t>
      </w:r>
      <w:r>
        <w:t>, t</w:t>
      </w:r>
      <w:r w:rsidRPr="009936B2">
        <w:t>he social enterprise approach is the one that most broadly embraces the</w:t>
      </w:r>
      <w:r>
        <w:t xml:space="preserve"> spectrum of organizational model</w:t>
      </w:r>
      <w:r w:rsidRPr="009936B2">
        <w:t xml:space="preserve">s observed in FT. </w:t>
      </w:r>
      <w:r w:rsidR="0041042A" w:rsidRPr="009936B2">
        <w:t xml:space="preserve">  </w:t>
      </w:r>
    </w:p>
    <w:p w:rsidR="0041042A" w:rsidRPr="0041042A" w:rsidRDefault="0041042A" w:rsidP="00B32FF2">
      <w:pPr>
        <w:spacing w:before="100" w:beforeAutospacing="1" w:after="100" w:afterAutospacing="1" w:line="276" w:lineRule="auto"/>
      </w:pPr>
    </w:p>
    <w:p w:rsidR="00B32FF2" w:rsidRPr="0041042A" w:rsidRDefault="0041042A" w:rsidP="00B32FF2">
      <w:pPr>
        <w:spacing w:before="100" w:beforeAutospacing="1" w:after="100" w:afterAutospacing="1" w:line="276" w:lineRule="auto"/>
        <w:rPr>
          <w:b/>
        </w:rPr>
      </w:pPr>
      <w:r w:rsidRPr="0041042A">
        <w:rPr>
          <w:b/>
        </w:rPr>
        <w:t>Chapter 2 – Fair Trade Social Enterprises</w:t>
      </w:r>
      <w:r w:rsidR="00772869">
        <w:rPr>
          <w:b/>
        </w:rPr>
        <w:t xml:space="preserve"> </w:t>
      </w:r>
      <w:r w:rsidR="001247E3">
        <w:rPr>
          <w:b/>
        </w:rPr>
        <w:t>in an international context</w:t>
      </w:r>
    </w:p>
    <w:p w:rsidR="00F36998" w:rsidRPr="00037CE1" w:rsidRDefault="00041432" w:rsidP="00041432">
      <w:r>
        <w:t>This</w:t>
      </w:r>
      <w:r w:rsidRPr="00037CE1">
        <w:t xml:space="preserve"> chapter introduces the reality of FTSEs</w:t>
      </w:r>
      <w:r>
        <w:t xml:space="preserve"> in the world and then more specifically in four European countries: Belgium, France, the United Kingdom and Italy. The history and organizational landscape of FT are described in each of the four countries</w:t>
      </w:r>
      <w:r w:rsidR="00F36998">
        <w:t>, showing contrasted situations in terms of roles for pioneer and newcomer FTSEs</w:t>
      </w:r>
      <w:r>
        <w:t>. Then, a few methodological elements are introduced</w:t>
      </w:r>
      <w:r w:rsidR="00F36998">
        <w:t xml:space="preserve">. Interviews with the managers of 57 FTSEs and documentary analyses have provided the data at the sample level. </w:t>
      </w:r>
      <w:r w:rsidR="009F069B">
        <w:t>Then</w:t>
      </w:r>
      <w:r w:rsidR="00F36998">
        <w:t xml:space="preserve">, 8 FTSEs reflecting different organizational models and cultural/historical backgrounds have been selected for in-depth case studies. </w:t>
      </w:r>
    </w:p>
    <w:p w:rsidR="005E0AC4" w:rsidRDefault="005E0AC4" w:rsidP="00772869">
      <w:pPr>
        <w:pStyle w:val="Titre1"/>
        <w:spacing w:line="276" w:lineRule="auto"/>
        <w:jc w:val="both"/>
        <w:rPr>
          <w:sz w:val="24"/>
        </w:rPr>
      </w:pPr>
      <w:bookmarkStart w:id="1" w:name="_Toc282612887"/>
    </w:p>
    <w:p w:rsidR="00772869" w:rsidRPr="00772869" w:rsidRDefault="00772869" w:rsidP="00772869">
      <w:pPr>
        <w:pStyle w:val="Titre1"/>
        <w:spacing w:line="276" w:lineRule="auto"/>
        <w:jc w:val="both"/>
        <w:rPr>
          <w:sz w:val="24"/>
        </w:rPr>
      </w:pPr>
      <w:r w:rsidRPr="00772869">
        <w:rPr>
          <w:sz w:val="24"/>
        </w:rPr>
        <w:t>Chapter 3 – Towards a taxonomy of organizational models</w:t>
      </w:r>
      <w:bookmarkEnd w:id="1"/>
    </w:p>
    <w:p w:rsidR="00CB42A5" w:rsidRDefault="00913B8F" w:rsidP="00913B8F">
      <w:pPr>
        <w:tabs>
          <w:tab w:val="left" w:pos="1800"/>
        </w:tabs>
        <w:spacing w:before="100" w:beforeAutospacing="1" w:after="100" w:afterAutospacing="1"/>
      </w:pPr>
      <w:r>
        <w:rPr>
          <w:bCs/>
        </w:rPr>
        <w:t>First, t</w:t>
      </w:r>
      <w:r w:rsidR="00772869">
        <w:rPr>
          <w:bCs/>
        </w:rPr>
        <w:t>his chapter</w:t>
      </w:r>
      <w:r w:rsidR="00772869" w:rsidRPr="009936B2">
        <w:rPr>
          <w:bCs/>
        </w:rPr>
        <w:t xml:space="preserve"> </w:t>
      </w:r>
      <w:r w:rsidR="009F069B">
        <w:rPr>
          <w:bCs/>
        </w:rPr>
        <w:t>tries to structur</w:t>
      </w:r>
      <w:r w:rsidR="00772869">
        <w:rPr>
          <w:bCs/>
        </w:rPr>
        <w:t>e the diversity of orga</w:t>
      </w:r>
      <w:r w:rsidR="00772869" w:rsidRPr="009936B2">
        <w:rPr>
          <w:bCs/>
        </w:rPr>
        <w:t>niz</w:t>
      </w:r>
      <w:r w:rsidR="00772869">
        <w:rPr>
          <w:bCs/>
        </w:rPr>
        <w:t>ational models in the FT field</w:t>
      </w:r>
      <w:r w:rsidR="00772869" w:rsidRPr="009936B2">
        <w:rPr>
          <w:bCs/>
        </w:rPr>
        <w:t xml:space="preserve">. In the first section, three </w:t>
      </w:r>
      <w:r w:rsidR="00C50723">
        <w:rPr>
          <w:bCs/>
        </w:rPr>
        <w:t>building blocks forming these models</w:t>
      </w:r>
      <w:r w:rsidR="00772869">
        <w:rPr>
          <w:bCs/>
        </w:rPr>
        <w:t xml:space="preserve"> are</w:t>
      </w:r>
      <w:r w:rsidR="00C50723">
        <w:rPr>
          <w:bCs/>
        </w:rPr>
        <w:t xml:space="preserve"> suggested</w:t>
      </w:r>
      <w:r w:rsidR="00772869" w:rsidRPr="009936B2">
        <w:rPr>
          <w:bCs/>
        </w:rPr>
        <w:t xml:space="preserve">: the legal form, the architecture and the governance model.  Then, </w:t>
      </w:r>
      <w:r>
        <w:t xml:space="preserve">based on commonly observed combinations of these three elements, a taxonomy including five categories is built: individual ventures, entrepreneurial businesses, volunteer-based FTSEs, multi-stakeholder cooperatives, and group structures. These categories are analyzed in depth, illustrated and </w:t>
      </w:r>
      <w:r w:rsidR="00C50723">
        <w:rPr>
          <w:bCs/>
        </w:rPr>
        <w:t xml:space="preserve">discriminated on the basis of </w:t>
      </w:r>
      <w:r w:rsidR="00772869">
        <w:rPr>
          <w:bCs/>
        </w:rPr>
        <w:t xml:space="preserve">a number of variables </w:t>
      </w:r>
      <w:r>
        <w:rPr>
          <w:bCs/>
        </w:rPr>
        <w:t>including</w:t>
      </w:r>
      <w:r w:rsidR="00772869">
        <w:rPr>
          <w:bCs/>
        </w:rPr>
        <w:t xml:space="preserve"> </w:t>
      </w:r>
      <w:r>
        <w:rPr>
          <w:bCs/>
        </w:rPr>
        <w:t xml:space="preserve">region, age, size, resources, </w:t>
      </w:r>
      <w:r w:rsidR="00772869">
        <w:rPr>
          <w:bCs/>
        </w:rPr>
        <w:t>goals</w:t>
      </w:r>
      <w:r>
        <w:rPr>
          <w:bCs/>
        </w:rPr>
        <w:t xml:space="preserve">, activities and </w:t>
      </w:r>
      <w:r w:rsidR="00CB2A63">
        <w:t xml:space="preserve">leaders’ profiles. </w:t>
      </w:r>
    </w:p>
    <w:p w:rsidR="00913B8F" w:rsidRPr="00913B8F" w:rsidRDefault="00913B8F" w:rsidP="00913B8F">
      <w:pPr>
        <w:tabs>
          <w:tab w:val="left" w:pos="1800"/>
        </w:tabs>
        <w:spacing w:before="100" w:beforeAutospacing="1" w:after="100" w:afterAutospacing="1" w:line="276" w:lineRule="auto"/>
        <w:rPr>
          <w:bCs/>
        </w:rPr>
      </w:pPr>
    </w:p>
    <w:p w:rsidR="00772869" w:rsidRPr="00CB42A5" w:rsidRDefault="00CB42A5" w:rsidP="0041042A">
      <w:pPr>
        <w:spacing w:before="100" w:beforeAutospacing="1" w:after="100" w:afterAutospacing="1" w:line="276" w:lineRule="auto"/>
        <w:rPr>
          <w:b/>
        </w:rPr>
      </w:pPr>
      <w:r w:rsidRPr="00CB42A5">
        <w:rPr>
          <w:b/>
        </w:rPr>
        <w:t>Chapter 4 – Theoretical perspectives</w:t>
      </w:r>
    </w:p>
    <w:p w:rsidR="00CB42A5" w:rsidRPr="00E00711" w:rsidRDefault="00CB42A5" w:rsidP="00BD0318">
      <w:pPr>
        <w:autoSpaceDE w:val="0"/>
        <w:autoSpaceDN w:val="0"/>
        <w:adjustRightInd w:val="0"/>
        <w:spacing w:before="100" w:beforeAutospacing="1" w:after="100" w:afterAutospacing="1"/>
        <w:rPr>
          <w:bCs/>
        </w:rPr>
      </w:pPr>
      <w:r w:rsidRPr="00E00711">
        <w:rPr>
          <w:bCs/>
        </w:rPr>
        <w:t xml:space="preserve">To understand how </w:t>
      </w:r>
      <w:r>
        <w:rPr>
          <w:bCs/>
        </w:rPr>
        <w:t>and why FTSEs adopt diverse models</w:t>
      </w:r>
      <w:r w:rsidRPr="00E00711">
        <w:rPr>
          <w:bCs/>
        </w:rPr>
        <w:t xml:space="preserve">, various theoretical approaches </w:t>
      </w:r>
      <w:r>
        <w:rPr>
          <w:bCs/>
        </w:rPr>
        <w:t xml:space="preserve">within the framework of organization </w:t>
      </w:r>
      <w:r w:rsidR="00FC380F">
        <w:rPr>
          <w:bCs/>
        </w:rPr>
        <w:t>studi</w:t>
      </w:r>
      <w:r>
        <w:rPr>
          <w:bCs/>
        </w:rPr>
        <w:t xml:space="preserve">es </w:t>
      </w:r>
      <w:r w:rsidRPr="00E00711">
        <w:rPr>
          <w:bCs/>
        </w:rPr>
        <w:t xml:space="preserve">are </w:t>
      </w:r>
      <w:r>
        <w:rPr>
          <w:bCs/>
        </w:rPr>
        <w:t>available</w:t>
      </w:r>
      <w:r w:rsidRPr="00E00711">
        <w:rPr>
          <w:bCs/>
        </w:rPr>
        <w:t xml:space="preserve">. </w:t>
      </w:r>
      <w:r w:rsidR="00FC380F">
        <w:rPr>
          <w:bCs/>
        </w:rPr>
        <w:t xml:space="preserve">Among these, the (new) institutional approaches in economics and sociology seem particularly </w:t>
      </w:r>
      <w:r w:rsidR="009F069B">
        <w:rPr>
          <w:bCs/>
        </w:rPr>
        <w:t>adequate</w:t>
      </w:r>
      <w:r w:rsidRPr="00E00711">
        <w:rPr>
          <w:bCs/>
        </w:rPr>
        <w:t xml:space="preserve">. The </w:t>
      </w:r>
      <w:r w:rsidR="00FC380F">
        <w:rPr>
          <w:bCs/>
        </w:rPr>
        <w:t>chapter first</w:t>
      </w:r>
      <w:r>
        <w:rPr>
          <w:bCs/>
        </w:rPr>
        <w:t xml:space="preserve"> </w:t>
      </w:r>
      <w:r w:rsidR="00FC380F">
        <w:rPr>
          <w:bCs/>
        </w:rPr>
        <w:t>describes the origins and main features of each approach</w:t>
      </w:r>
      <w:r w:rsidRPr="00E00711">
        <w:rPr>
          <w:bCs/>
        </w:rPr>
        <w:t>. The</w:t>
      </w:r>
      <w:r w:rsidR="00FC380F">
        <w:rPr>
          <w:bCs/>
        </w:rPr>
        <w:t xml:space="preserve">n, these approaches are compared with each other both on their key assumptions and on their </w:t>
      </w:r>
      <w:r w:rsidRPr="00E00711">
        <w:rPr>
          <w:bCs/>
        </w:rPr>
        <w:t xml:space="preserve">contribution to the study of </w:t>
      </w:r>
      <w:r>
        <w:rPr>
          <w:bCs/>
        </w:rPr>
        <w:t>FTSEs</w:t>
      </w:r>
      <w:r w:rsidRPr="00E00711">
        <w:rPr>
          <w:bCs/>
        </w:rPr>
        <w:t xml:space="preserve">’ diverse </w:t>
      </w:r>
      <w:r w:rsidR="009F069B">
        <w:rPr>
          <w:bCs/>
        </w:rPr>
        <w:t xml:space="preserve">and hybrid </w:t>
      </w:r>
      <w:r>
        <w:rPr>
          <w:bCs/>
        </w:rPr>
        <w:t>model</w:t>
      </w:r>
      <w:r w:rsidRPr="00E00711">
        <w:rPr>
          <w:bCs/>
        </w:rPr>
        <w:t xml:space="preserve">s. </w:t>
      </w:r>
    </w:p>
    <w:p w:rsidR="00CB42A5" w:rsidRDefault="00CB42A5" w:rsidP="00BD0318">
      <w:pPr>
        <w:spacing w:before="100" w:beforeAutospacing="1" w:after="100" w:afterAutospacing="1"/>
      </w:pPr>
    </w:p>
    <w:p w:rsidR="00CB42A5" w:rsidRPr="00D430C2" w:rsidRDefault="00CB42A5" w:rsidP="00BD0318">
      <w:pPr>
        <w:spacing w:before="100" w:beforeAutospacing="1" w:after="100" w:afterAutospacing="1"/>
        <w:rPr>
          <w:b/>
        </w:rPr>
      </w:pPr>
      <w:r w:rsidRPr="00D430C2">
        <w:rPr>
          <w:b/>
        </w:rPr>
        <w:t xml:space="preserve">Chapter 5 – </w:t>
      </w:r>
      <w:r w:rsidR="00D430C2" w:rsidRPr="00D430C2">
        <w:rPr>
          <w:b/>
        </w:rPr>
        <w:t>Organizational models as efficient institutional arrangements</w:t>
      </w:r>
    </w:p>
    <w:p w:rsidR="00CB42A5" w:rsidRDefault="0039469E" w:rsidP="00BD0318">
      <w:pPr>
        <w:spacing w:before="100" w:beforeAutospacing="1" w:after="100" w:afterAutospacing="1"/>
      </w:pPr>
      <w:r>
        <w:t xml:space="preserve">This chapter applies economic new institutionalism to interpret the taxonomy and the distinctive features of each model. </w:t>
      </w:r>
      <w:r w:rsidR="00CB42A5" w:rsidRPr="009936B2">
        <w:t>The first section distinguish</w:t>
      </w:r>
      <w:r>
        <w:t>es</w:t>
      </w:r>
      <w:r w:rsidR="00CB42A5" w:rsidRPr="009936B2">
        <w:t xml:space="preserve"> how the </w:t>
      </w:r>
      <w:r>
        <w:t>hybrid nature of</w:t>
      </w:r>
      <w:r w:rsidR="00CB42A5" w:rsidRPr="009936B2">
        <w:t xml:space="preserve"> FT can be </w:t>
      </w:r>
      <w:r w:rsidR="00CB42A5" w:rsidRPr="009936B2">
        <w:lastRenderedPageBreak/>
        <w:t xml:space="preserve">expressed in terms of economic goods. The following sections are </w:t>
      </w:r>
      <w:r>
        <w:t xml:space="preserve">based on the FTSEs’ </w:t>
      </w:r>
      <w:r w:rsidR="00CB42A5" w:rsidRPr="009936B2">
        <w:t xml:space="preserve">legal form and governance structures. </w:t>
      </w:r>
      <w:r>
        <w:t>They</w:t>
      </w:r>
      <w:r w:rsidR="00CB42A5" w:rsidRPr="009936B2">
        <w:t xml:space="preserve"> seek to interpret the observed relationships between goals and activities, as well as resources, and the organizational </w:t>
      </w:r>
      <w:r>
        <w:t>model</w:t>
      </w:r>
      <w:r w:rsidR="00CB42A5" w:rsidRPr="009936B2">
        <w:t xml:space="preserve">. The arguments stem from </w:t>
      </w:r>
      <w:r>
        <w:t>two</w:t>
      </w:r>
      <w:r w:rsidR="00CB42A5" w:rsidRPr="009936B2">
        <w:t xml:space="preserve"> types of </w:t>
      </w:r>
      <w:r>
        <w:t>“</w:t>
      </w:r>
      <w:r w:rsidR="00CB42A5" w:rsidRPr="009936B2">
        <w:t>transaction costs</w:t>
      </w:r>
      <w:r>
        <w:t xml:space="preserve">”: the </w:t>
      </w:r>
      <w:r w:rsidR="00CB42A5" w:rsidRPr="009936B2">
        <w:t xml:space="preserve">costs of market contracting and </w:t>
      </w:r>
      <w:r>
        <w:t xml:space="preserve">the </w:t>
      </w:r>
      <w:r w:rsidR="00CB42A5" w:rsidRPr="009936B2">
        <w:t xml:space="preserve">costs of ownership. Finally, special attention is devoted to the </w:t>
      </w:r>
      <w:r>
        <w:t>inclusion of</w:t>
      </w:r>
      <w:r w:rsidR="00CB42A5" w:rsidRPr="009936B2">
        <w:t xml:space="preserve"> customers and producers </w:t>
      </w:r>
      <w:r>
        <w:t xml:space="preserve">as an innovative </w:t>
      </w:r>
      <w:r w:rsidR="00CB42A5" w:rsidRPr="009936B2">
        <w:t xml:space="preserve">governance </w:t>
      </w:r>
      <w:r>
        <w:t>practice</w:t>
      </w:r>
      <w:r w:rsidR="00CB42A5" w:rsidRPr="009936B2">
        <w:t>.</w:t>
      </w:r>
    </w:p>
    <w:p w:rsidR="00BD0318" w:rsidRDefault="00BD0318" w:rsidP="00BD0318">
      <w:pPr>
        <w:spacing w:before="100" w:beforeAutospacing="1" w:after="100" w:afterAutospacing="1"/>
      </w:pPr>
    </w:p>
    <w:p w:rsidR="00BD0318" w:rsidRPr="00BD0318" w:rsidRDefault="00BD0318" w:rsidP="00BD0318">
      <w:pPr>
        <w:spacing w:before="100" w:beforeAutospacing="1" w:after="100" w:afterAutospacing="1"/>
        <w:rPr>
          <w:b/>
        </w:rPr>
      </w:pPr>
      <w:r w:rsidRPr="00BD0318">
        <w:rPr>
          <w:b/>
        </w:rPr>
        <w:t>Chapter 6 – Organizational models as reflections of their environment</w:t>
      </w:r>
    </w:p>
    <w:p w:rsidR="00BD0318" w:rsidRPr="000E6792" w:rsidRDefault="00BD0318" w:rsidP="00BD0318">
      <w:pPr>
        <w:spacing w:after="0"/>
      </w:pPr>
      <w:r w:rsidRPr="000E6792">
        <w:t>Sociological new institutionalism focuses on the influence of institutions</w:t>
      </w:r>
      <w:r>
        <w:t xml:space="preserve"> </w:t>
      </w:r>
      <w:r w:rsidRPr="000E6792">
        <w:t>–understood in a broad sense–</w:t>
      </w:r>
      <w:r>
        <w:t xml:space="preserve"> </w:t>
      </w:r>
      <w:r w:rsidRPr="000E6792">
        <w:t>on organisations, particularly in the sense of const</w:t>
      </w:r>
      <w:r>
        <w:t>raining or even imposing organiz</w:t>
      </w:r>
      <w:r w:rsidRPr="000E6792">
        <w:t xml:space="preserve">ational behaviour. </w:t>
      </w:r>
      <w:r w:rsidR="00234C80">
        <w:t>First</w:t>
      </w:r>
      <w:r w:rsidRPr="000E6792">
        <w:t xml:space="preserve">, the normative trends in the </w:t>
      </w:r>
      <w:r>
        <w:t>field of FT and their consequences on FTSEs’ organizational models are examined at the different historical stages of FT: foundation, mainstreaming, and entrepreneurship</w:t>
      </w:r>
      <w:r w:rsidRPr="000E6792">
        <w:t xml:space="preserve">. </w:t>
      </w:r>
      <w:r w:rsidR="00234C80">
        <w:t>T</w:t>
      </w:r>
      <w:r>
        <w:t>hen</w:t>
      </w:r>
      <w:r w:rsidR="00234C80">
        <w:t>, the author</w:t>
      </w:r>
      <w:r>
        <w:t xml:space="preserve"> looks at how these normative trends are translated </w:t>
      </w:r>
      <w:r w:rsidRPr="000E6792">
        <w:t>at the local level</w:t>
      </w:r>
      <w:r>
        <w:t xml:space="preserve"> and are intertwined with</w:t>
      </w:r>
      <w:r w:rsidRPr="000E6792">
        <w:t xml:space="preserve"> coercive and mimetic influences</w:t>
      </w:r>
      <w:r>
        <w:t>,</w:t>
      </w:r>
      <w:r w:rsidRPr="000E6792">
        <w:t xml:space="preserve"> </w:t>
      </w:r>
      <w:r>
        <w:t>revealing important differences between the four countries of the study.</w:t>
      </w:r>
      <w:r w:rsidR="00234C80">
        <w:t xml:space="preserve"> These historical and geographical differences explain much of the diversity in the FT field.</w:t>
      </w:r>
    </w:p>
    <w:p w:rsidR="00234C80" w:rsidRDefault="00234C80" w:rsidP="00234C80">
      <w:pPr>
        <w:spacing w:after="0"/>
        <w:rPr>
          <w:b/>
        </w:rPr>
      </w:pPr>
    </w:p>
    <w:p w:rsidR="00234C80" w:rsidRPr="000E6792" w:rsidRDefault="00234C80" w:rsidP="00234C80">
      <w:pPr>
        <w:spacing w:after="0"/>
      </w:pPr>
      <w:r>
        <w:rPr>
          <w:b/>
        </w:rPr>
        <w:t xml:space="preserve">Chapter </w:t>
      </w:r>
      <w:r w:rsidR="00BC6669">
        <w:rPr>
          <w:b/>
        </w:rPr>
        <w:t>7</w:t>
      </w:r>
      <w:r w:rsidRPr="000E6792">
        <w:rPr>
          <w:b/>
        </w:rPr>
        <w:t xml:space="preserve"> – </w:t>
      </w:r>
      <w:r>
        <w:rPr>
          <w:b/>
        </w:rPr>
        <w:t>Organizational models as institutional bricolage</w:t>
      </w:r>
      <w:r w:rsidRPr="000E6792">
        <w:t xml:space="preserve"> </w:t>
      </w:r>
    </w:p>
    <w:p w:rsidR="00234C80" w:rsidRDefault="00234C80" w:rsidP="00234C80">
      <w:pPr>
        <w:spacing w:after="0"/>
      </w:pPr>
      <w:r>
        <w:t>This</w:t>
      </w:r>
      <w:r w:rsidR="005E0AC4">
        <w:t xml:space="preserve"> chapter aims to introduce a more</w:t>
      </w:r>
      <w:r w:rsidRPr="000E6792">
        <w:t xml:space="preserve"> strategic </w:t>
      </w:r>
      <w:r w:rsidR="005E0AC4">
        <w:t>component in the institutional analysis</w:t>
      </w:r>
      <w:r>
        <w:t>. Ca</w:t>
      </w:r>
      <w:r w:rsidRPr="000E6792">
        <w:t xml:space="preserve">se studies </w:t>
      </w:r>
      <w:r w:rsidR="005E0AC4">
        <w:t>represent</w:t>
      </w:r>
      <w:r w:rsidRPr="000E6792">
        <w:t xml:space="preserve">ing the </w:t>
      </w:r>
      <w:r>
        <w:t xml:space="preserve">different organizational models </w:t>
      </w:r>
      <w:r w:rsidR="005E0AC4">
        <w:t>show</w:t>
      </w:r>
      <w:r>
        <w:t xml:space="preserve"> how the</w:t>
      </w:r>
      <w:r w:rsidR="005E0AC4">
        <w:t>se models</w:t>
      </w:r>
      <w:r>
        <w:t xml:space="preserve"> have been used as strategic tools to influence and shape the </w:t>
      </w:r>
      <w:r w:rsidR="005E0AC4">
        <w:t xml:space="preserve">FTSEs’ </w:t>
      </w:r>
      <w:r>
        <w:t xml:space="preserve">institutional </w:t>
      </w:r>
      <w:r w:rsidRPr="000E6792">
        <w:t xml:space="preserve">environment. </w:t>
      </w:r>
      <w:r>
        <w:t xml:space="preserve">FTSEs are </w:t>
      </w:r>
      <w:r>
        <w:lastRenderedPageBreak/>
        <w:t xml:space="preserve">analyzed </w:t>
      </w:r>
      <w:r w:rsidR="006B388C">
        <w:t xml:space="preserve">here </w:t>
      </w:r>
      <w:r>
        <w:t>as</w:t>
      </w:r>
      <w:r w:rsidRPr="000E6792">
        <w:t xml:space="preserve"> “institutional entrepreneur</w:t>
      </w:r>
      <w:r>
        <w:t>s</w:t>
      </w:r>
      <w:r w:rsidRPr="000E6792">
        <w:t xml:space="preserve">” </w:t>
      </w:r>
      <w:r w:rsidR="006B388C">
        <w:t>promoting</w:t>
      </w:r>
      <w:r>
        <w:t xml:space="preserve"> their </w:t>
      </w:r>
      <w:r w:rsidR="005E0AC4">
        <w:t>own</w:t>
      </w:r>
      <w:r>
        <w:t xml:space="preserve"> model as </w:t>
      </w:r>
      <w:r w:rsidR="005E0AC4">
        <w:t xml:space="preserve">a </w:t>
      </w:r>
      <w:r>
        <w:t>superior</w:t>
      </w:r>
      <w:r w:rsidR="005E0AC4">
        <w:t xml:space="preserve"> avenue for the pursuit of FT. Organizational models are seen as “institutional </w:t>
      </w:r>
      <w:proofErr w:type="spellStart"/>
      <w:r w:rsidR="005E0AC4">
        <w:t>bricolage</w:t>
      </w:r>
      <w:proofErr w:type="spellEnd"/>
      <w:r w:rsidR="005E0AC4">
        <w:t>”</w:t>
      </w:r>
      <w:r>
        <w:t xml:space="preserve"> </w:t>
      </w:r>
      <w:r w:rsidR="005E0AC4">
        <w:t>meant to garner legitimacy, and thus resources, from different stakeholders. Access to networks is central in this regard. Diversity is interpreted here as the result of these different strategies</w:t>
      </w:r>
      <w:r w:rsidRPr="000E6792">
        <w:t xml:space="preserve"> </w:t>
      </w:r>
      <w:r w:rsidR="005E0AC4">
        <w:t>adapted to each FTSE’s specific environment.</w:t>
      </w:r>
    </w:p>
    <w:p w:rsidR="00BC6669" w:rsidRDefault="00BC6669" w:rsidP="00234C80">
      <w:pPr>
        <w:spacing w:after="0"/>
      </w:pPr>
    </w:p>
    <w:p w:rsidR="00BC6669" w:rsidRPr="00486236" w:rsidRDefault="00BC6669" w:rsidP="00234C80">
      <w:pPr>
        <w:spacing w:after="0"/>
        <w:rPr>
          <w:b/>
        </w:rPr>
      </w:pPr>
      <w:r w:rsidRPr="00486236">
        <w:rPr>
          <w:b/>
        </w:rPr>
        <w:t>Chapter 8 – Managing hy</w:t>
      </w:r>
      <w:r w:rsidR="00486236" w:rsidRPr="00486236">
        <w:rPr>
          <w:b/>
        </w:rPr>
        <w:t>brid organizational models</w:t>
      </w:r>
    </w:p>
    <w:p w:rsidR="00BC6669" w:rsidRPr="0048443B" w:rsidRDefault="00BC6669" w:rsidP="00934184">
      <w:r>
        <w:t>This last chapter aims to deepen the strategic perspective of the previous chapter</w:t>
      </w:r>
      <w:r w:rsidR="00486236">
        <w:t>,</w:t>
      </w:r>
      <w:r>
        <w:t xml:space="preserve"> through examining how each organizational model offers particular opportunities and threats </w:t>
      </w:r>
      <w:smartTag w:uri="isiresearchsoft-com/cwyw" w:element="citation">
        <w:r>
          <w:t>(tensions)</w:t>
        </w:r>
      </w:smartTag>
      <w:r w:rsidR="00486236">
        <w:t xml:space="preserve"> for </w:t>
      </w:r>
      <w:r>
        <w:t>FT entrepreneur</w:t>
      </w:r>
      <w:r w:rsidR="00486236">
        <w:t>s</w:t>
      </w:r>
      <w:r>
        <w:t xml:space="preserve">. </w:t>
      </w:r>
      <w:r w:rsidR="00486236">
        <w:t xml:space="preserve">The contribution of each model to the practice of FT in its different dimensions is reviewed based on both the sample and case study findings. </w:t>
      </w:r>
      <w:r>
        <w:t>Rec</w:t>
      </w:r>
      <w:r w:rsidR="00486236">
        <w:t xml:space="preserve">ommendations are made to the (current or potential) FT entrepreneurs regarding how to seize the opportunities, overcome the dilemmas and manage their relationships with the other FTSEs and stakeholders. </w:t>
      </w:r>
      <w:r>
        <w:t>The chapter ends by revisiting the organizational trajectories (evolution from one model to another) from a strategic standpoint.</w:t>
      </w:r>
    </w:p>
    <w:p w:rsidR="00BD0318" w:rsidRPr="009936B2" w:rsidRDefault="00BD0318" w:rsidP="00BD0318">
      <w:pPr>
        <w:spacing w:before="100" w:beforeAutospacing="1" w:after="100" w:afterAutospacing="1"/>
      </w:pPr>
    </w:p>
    <w:sectPr w:rsidR="00BD0318" w:rsidRPr="009936B2" w:rsidSect="00934184"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5A1" w:rsidRDefault="00D415A1" w:rsidP="0041042A">
      <w:r>
        <w:separator/>
      </w:r>
    </w:p>
  </w:endnote>
  <w:endnote w:type="continuationSeparator" w:id="0">
    <w:p w:rsidR="00D415A1" w:rsidRDefault="00D415A1" w:rsidP="0041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5A1" w:rsidRDefault="00D415A1" w:rsidP="0041042A">
      <w:r>
        <w:separator/>
      </w:r>
    </w:p>
  </w:footnote>
  <w:footnote w:type="continuationSeparator" w:id="0">
    <w:p w:rsidR="00D415A1" w:rsidRDefault="00D415A1" w:rsidP="00410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FF2"/>
    <w:rsid w:val="00010D80"/>
    <w:rsid w:val="00041432"/>
    <w:rsid w:val="000E1680"/>
    <w:rsid w:val="00102D5D"/>
    <w:rsid w:val="001247E3"/>
    <w:rsid w:val="001B737A"/>
    <w:rsid w:val="00234C80"/>
    <w:rsid w:val="00236283"/>
    <w:rsid w:val="00263624"/>
    <w:rsid w:val="002937E2"/>
    <w:rsid w:val="002E6192"/>
    <w:rsid w:val="00344408"/>
    <w:rsid w:val="00390CFC"/>
    <w:rsid w:val="0039469E"/>
    <w:rsid w:val="0041042A"/>
    <w:rsid w:val="00456360"/>
    <w:rsid w:val="00486236"/>
    <w:rsid w:val="004F3A55"/>
    <w:rsid w:val="005B3FDB"/>
    <w:rsid w:val="005E0AC4"/>
    <w:rsid w:val="006B388C"/>
    <w:rsid w:val="00772869"/>
    <w:rsid w:val="0078174F"/>
    <w:rsid w:val="00782AFB"/>
    <w:rsid w:val="007B4113"/>
    <w:rsid w:val="00862EA1"/>
    <w:rsid w:val="00913B8F"/>
    <w:rsid w:val="00934184"/>
    <w:rsid w:val="009362FB"/>
    <w:rsid w:val="009F069B"/>
    <w:rsid w:val="00B32FF2"/>
    <w:rsid w:val="00BB036A"/>
    <w:rsid w:val="00BC6669"/>
    <w:rsid w:val="00BD0318"/>
    <w:rsid w:val="00BF3E34"/>
    <w:rsid w:val="00C50723"/>
    <w:rsid w:val="00C93EA9"/>
    <w:rsid w:val="00CB2A63"/>
    <w:rsid w:val="00CB42A5"/>
    <w:rsid w:val="00D415A1"/>
    <w:rsid w:val="00D430C2"/>
    <w:rsid w:val="00D87015"/>
    <w:rsid w:val="00DC2373"/>
    <w:rsid w:val="00F36998"/>
    <w:rsid w:val="00FC3599"/>
    <w:rsid w:val="00FC3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432"/>
    <w:pPr>
      <w:spacing w:before="240" w:after="24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itre1">
    <w:name w:val="heading 1"/>
    <w:aliases w:val="Chapitre"/>
    <w:basedOn w:val="Normal"/>
    <w:next w:val="Normal"/>
    <w:link w:val="Titre1Car"/>
    <w:qFormat/>
    <w:rsid w:val="00B32FF2"/>
    <w:pPr>
      <w:keepNext/>
      <w:jc w:val="center"/>
      <w:outlineLvl w:val="0"/>
    </w:pPr>
    <w:rPr>
      <w:b/>
      <w:bCs/>
      <w:sz w:val="28"/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04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pitre Car"/>
    <w:basedOn w:val="Policepardfaut"/>
    <w:link w:val="Titre1"/>
    <w:rsid w:val="00B32FF2"/>
    <w:rPr>
      <w:rFonts w:ascii="Times New Roman" w:eastAsia="Times New Roman" w:hAnsi="Times New Roman" w:cs="Times New Roman"/>
      <w:b/>
      <w:bCs/>
      <w:sz w:val="28"/>
      <w:szCs w:val="24"/>
      <w:lang w:val="en-GB" w:eastAsia="fr-FR" w:bidi="he-IL"/>
    </w:rPr>
  </w:style>
  <w:style w:type="character" w:customStyle="1" w:styleId="Titre2Car">
    <w:name w:val="Titre 2 Car"/>
    <w:basedOn w:val="Policepardfaut"/>
    <w:link w:val="Titre2"/>
    <w:uiPriority w:val="9"/>
    <w:rsid w:val="00410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fr-FR"/>
    </w:rPr>
  </w:style>
  <w:style w:type="paragraph" w:styleId="Notedebasdepage">
    <w:name w:val="footnote text"/>
    <w:basedOn w:val="Normal"/>
    <w:link w:val="NotedebasdepageCar"/>
    <w:rsid w:val="0041042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41042A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Appelnotedebasdep">
    <w:name w:val="footnote reference"/>
    <w:basedOn w:val="Policepardfaut"/>
    <w:rsid w:val="004104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890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BH</cp:lastModifiedBy>
  <cp:revision>18</cp:revision>
  <dcterms:created xsi:type="dcterms:W3CDTF">2011-02-11T15:04:00Z</dcterms:created>
  <dcterms:modified xsi:type="dcterms:W3CDTF">2011-07-01T10:48:00Z</dcterms:modified>
</cp:coreProperties>
</file>