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BD" w:rsidRDefault="00FE52BD" w:rsidP="008E68CE">
      <w:pPr>
        <w:jc w:val="center"/>
        <w:rPr>
          <w:b/>
          <w:lang w:val="en-US"/>
        </w:rPr>
      </w:pPr>
      <w:r w:rsidRPr="00CC6FAC">
        <w:rPr>
          <w:b/>
          <w:lang w:val="en-US"/>
        </w:rPr>
        <w:t>Paraneop</w:t>
      </w:r>
      <w:r>
        <w:rPr>
          <w:b/>
          <w:lang w:val="en-US"/>
        </w:rPr>
        <w:t>lastic gynecomastia revealing a</w:t>
      </w:r>
      <w:r w:rsidRPr="00CC6FAC">
        <w:rPr>
          <w:b/>
          <w:lang w:val="en-US"/>
        </w:rPr>
        <w:t xml:space="preserve"> </w:t>
      </w:r>
      <w:r>
        <w:rPr>
          <w:b/>
          <w:lang w:val="en-US"/>
        </w:rPr>
        <w:t xml:space="preserve">mixed </w:t>
      </w:r>
      <w:r w:rsidRPr="00CC6FAC">
        <w:rPr>
          <w:b/>
          <w:lang w:val="en-US"/>
        </w:rPr>
        <w:t>hCG</w:t>
      </w:r>
      <w:r>
        <w:rPr>
          <w:b/>
          <w:lang w:val="en-US"/>
        </w:rPr>
        <w:t xml:space="preserve">, free </w:t>
      </w:r>
      <w:r>
        <w:rPr>
          <w:b/>
          <w:lang w:val="en-US"/>
        </w:rPr>
        <w:sym w:font="Symbol" w:char="F062"/>
      </w:r>
      <w:r>
        <w:rPr>
          <w:b/>
          <w:lang w:val="en-US"/>
        </w:rPr>
        <w:t>hCG</w:t>
      </w:r>
      <w:r w:rsidRPr="00CC6FAC">
        <w:rPr>
          <w:b/>
          <w:lang w:val="en-US"/>
        </w:rPr>
        <w:t xml:space="preserve"> </w:t>
      </w:r>
      <w:r>
        <w:rPr>
          <w:b/>
          <w:lang w:val="en-US"/>
        </w:rPr>
        <w:t xml:space="preserve">and </w:t>
      </w:r>
    </w:p>
    <w:p w:rsidR="00FE52BD" w:rsidRPr="00CC6FAC" w:rsidRDefault="00FE52BD" w:rsidP="008E68CE">
      <w:pPr>
        <w:jc w:val="center"/>
        <w:rPr>
          <w:b/>
          <w:lang w:val="en-US"/>
        </w:rPr>
      </w:pPr>
      <w:r>
        <w:rPr>
          <w:b/>
          <w:lang w:val="en-US"/>
        </w:rPr>
        <w:sym w:font="Symbol" w:char="F061"/>
      </w:r>
      <w:r>
        <w:rPr>
          <w:b/>
          <w:lang w:val="en-US"/>
        </w:rPr>
        <w:t xml:space="preserve"> subunit-</w:t>
      </w:r>
      <w:r w:rsidRPr="00CC6FAC">
        <w:rPr>
          <w:b/>
          <w:lang w:val="en-US"/>
        </w:rPr>
        <w:t xml:space="preserve">secreting  </w:t>
      </w:r>
      <w:r>
        <w:rPr>
          <w:b/>
          <w:lang w:val="en-US"/>
        </w:rPr>
        <w:t xml:space="preserve">non small cell </w:t>
      </w:r>
      <w:r w:rsidRPr="00CC6FAC">
        <w:rPr>
          <w:b/>
          <w:lang w:val="en-US"/>
        </w:rPr>
        <w:t xml:space="preserve">lung cancer </w:t>
      </w:r>
      <w:r>
        <w:rPr>
          <w:b/>
          <w:lang w:val="en-US"/>
        </w:rPr>
        <w:t>(SCLC)</w:t>
      </w:r>
    </w:p>
    <w:p w:rsidR="00FE52BD" w:rsidRDefault="00FE52BD" w:rsidP="00442A30">
      <w:pPr>
        <w:rPr>
          <w:lang w:val="en-US"/>
        </w:rPr>
      </w:pPr>
    </w:p>
    <w:p w:rsidR="00FE52BD" w:rsidRDefault="00FE52BD" w:rsidP="00442A30">
      <w:pPr>
        <w:rPr>
          <w:lang w:val="en-US"/>
        </w:rPr>
      </w:pPr>
    </w:p>
    <w:p w:rsidR="00FE52BD" w:rsidRDefault="00FE52BD" w:rsidP="00442A30">
      <w:pPr>
        <w:rPr>
          <w:lang w:val="en-US"/>
        </w:rPr>
      </w:pPr>
    </w:p>
    <w:p w:rsidR="00FE52BD" w:rsidRDefault="00FE52BD" w:rsidP="00442A30">
      <w:pPr>
        <w:rPr>
          <w:lang w:val="en-US"/>
        </w:rPr>
      </w:pPr>
    </w:p>
    <w:p w:rsidR="00FE52BD" w:rsidRDefault="00FE52BD" w:rsidP="00442A30">
      <w:pPr>
        <w:rPr>
          <w:lang w:val="en-US"/>
        </w:rPr>
      </w:pPr>
      <w:r>
        <w:rPr>
          <w:lang w:val="en-US"/>
        </w:rPr>
        <w:t>Hernan VALDES-SOCIN (1)(2), Lionel BOSQUEE (3), Luc COPPENS (4), Albert BECKERS (2)</w:t>
      </w:r>
    </w:p>
    <w:p w:rsidR="00FE52BD" w:rsidRPr="003D7074" w:rsidRDefault="00FE52BD" w:rsidP="00442A30">
      <w:pPr>
        <w:rPr>
          <w:lang w:val="en-US"/>
        </w:rPr>
      </w:pPr>
      <w:r w:rsidRPr="003D7074">
        <w:rPr>
          <w:lang w:val="en-US"/>
        </w:rPr>
        <w:t xml:space="preserve">Clinicien-Chercheur FNRS (1), Endocrinology Service (2), Urology Service (3), Pneumonology Service (4). CHU Sart Tilman. </w:t>
      </w:r>
      <w:r>
        <w:rPr>
          <w:lang w:val="en-US"/>
        </w:rPr>
        <w:t>University of</w:t>
      </w:r>
      <w:r w:rsidRPr="003D7074">
        <w:rPr>
          <w:lang w:val="en-US"/>
        </w:rPr>
        <w:t xml:space="preserve"> Liège</w:t>
      </w:r>
    </w:p>
    <w:p w:rsidR="00FE52BD" w:rsidRPr="003D7074" w:rsidRDefault="00FE52BD" w:rsidP="00442A30">
      <w:pPr>
        <w:rPr>
          <w:lang w:val="en-US"/>
        </w:rPr>
      </w:pPr>
    </w:p>
    <w:p w:rsidR="00FE52BD" w:rsidRPr="003D7074" w:rsidRDefault="00FE52BD" w:rsidP="00442A30">
      <w:pPr>
        <w:rPr>
          <w:lang w:val="en-US"/>
        </w:rPr>
      </w:pPr>
    </w:p>
    <w:p w:rsidR="00FE52BD" w:rsidRPr="003D7074" w:rsidRDefault="00FE52BD" w:rsidP="00DF032F">
      <w:pPr>
        <w:jc w:val="both"/>
        <w:rPr>
          <w:lang w:val="en-US"/>
        </w:rPr>
      </w:pPr>
    </w:p>
    <w:p w:rsidR="00FE52BD" w:rsidRPr="00DF032F" w:rsidRDefault="00FE52BD" w:rsidP="00DF032F">
      <w:pPr>
        <w:jc w:val="both"/>
        <w:rPr>
          <w:lang w:val="en-US"/>
        </w:rPr>
      </w:pPr>
      <w:r w:rsidRPr="00DF032F">
        <w:rPr>
          <w:lang w:val="en-US"/>
        </w:rPr>
        <w:t>INTRODUCTION</w:t>
      </w:r>
    </w:p>
    <w:p w:rsidR="00FE52BD" w:rsidRPr="00DF032F" w:rsidRDefault="00FE52BD" w:rsidP="00DF032F">
      <w:pPr>
        <w:jc w:val="both"/>
        <w:rPr>
          <w:lang w:val="en-US"/>
        </w:rPr>
      </w:pPr>
    </w:p>
    <w:p w:rsidR="00FE52BD" w:rsidRPr="00DF032F" w:rsidRDefault="00FE52BD" w:rsidP="00DF032F">
      <w:pPr>
        <w:shd w:val="clear" w:color="auto" w:fill="FFFFFF"/>
        <w:spacing w:before="100" w:beforeAutospacing="1" w:after="100" w:afterAutospacing="1" w:line="360" w:lineRule="auto"/>
        <w:jc w:val="both"/>
        <w:rPr>
          <w:lang w:val="en-US" w:eastAsia="fr-BE"/>
        </w:rPr>
      </w:pPr>
      <w:r w:rsidRPr="00DF032F">
        <w:rPr>
          <w:lang w:val="en-US" w:eastAsia="fr-BE"/>
        </w:rPr>
        <w:t xml:space="preserve">Although gynecomastia is a common disorder, the recognition of paraneoplastic gynecomastia is important for both the diagnosis of the tumor and the prognosis of the patient. </w:t>
      </w:r>
      <w:r>
        <w:rPr>
          <w:lang w:val="en-US" w:eastAsia="fr-BE"/>
        </w:rPr>
        <w:t xml:space="preserve">Gynecomastia with ectopic and simultaneous secretion of </w:t>
      </w:r>
      <w:r w:rsidRPr="00DF032F">
        <w:rPr>
          <w:lang w:val="en-US"/>
        </w:rPr>
        <w:t xml:space="preserve">hCG, free </w:t>
      </w:r>
      <w:r w:rsidRPr="00DF032F">
        <w:rPr>
          <w:lang w:val="en-US"/>
        </w:rPr>
        <w:sym w:font="Symbol" w:char="F062"/>
      </w:r>
      <w:r w:rsidRPr="00DF032F">
        <w:rPr>
          <w:lang w:val="en-US"/>
        </w:rPr>
        <w:t>hCG</w:t>
      </w:r>
      <w:r w:rsidRPr="00CC6FAC">
        <w:rPr>
          <w:b/>
          <w:lang w:val="en-US"/>
        </w:rPr>
        <w:t xml:space="preserve"> </w:t>
      </w:r>
      <w:r w:rsidRPr="00DF032F">
        <w:rPr>
          <w:lang w:val="en-US"/>
        </w:rPr>
        <w:t>and alpha subunit</w:t>
      </w:r>
      <w:r>
        <w:rPr>
          <w:lang w:val="en-US"/>
        </w:rPr>
        <w:t xml:space="preserve"> is a rare form of revealing a NSCL cancer. </w:t>
      </w:r>
    </w:p>
    <w:p w:rsidR="00FE52BD" w:rsidRPr="00DF032F" w:rsidRDefault="00FE52BD" w:rsidP="00DF032F">
      <w:pPr>
        <w:spacing w:line="360" w:lineRule="auto"/>
        <w:jc w:val="both"/>
        <w:rPr>
          <w:lang w:val="en-US"/>
        </w:rPr>
      </w:pPr>
    </w:p>
    <w:p w:rsidR="00FE52BD" w:rsidRPr="00DF032F" w:rsidRDefault="00FE52BD" w:rsidP="00DF032F">
      <w:pPr>
        <w:spacing w:line="360" w:lineRule="auto"/>
        <w:jc w:val="both"/>
        <w:rPr>
          <w:lang w:val="en-US"/>
        </w:rPr>
      </w:pPr>
      <w:r w:rsidRPr="00DF032F">
        <w:rPr>
          <w:lang w:val="en-US"/>
        </w:rPr>
        <w:t>CASE REPORT</w:t>
      </w:r>
    </w:p>
    <w:p w:rsidR="00FE52BD" w:rsidRPr="00DF032F" w:rsidRDefault="00FE52BD" w:rsidP="003D7074">
      <w:pPr>
        <w:shd w:val="clear" w:color="auto" w:fill="FFFFFF"/>
        <w:spacing w:before="100" w:beforeAutospacing="1" w:after="100" w:afterAutospacing="1" w:line="360" w:lineRule="auto"/>
        <w:jc w:val="both"/>
        <w:rPr>
          <w:lang w:val="en-US" w:eastAsia="fr-BE"/>
        </w:rPr>
      </w:pPr>
      <w:r w:rsidRPr="00DF032F">
        <w:rPr>
          <w:lang w:val="en-US" w:eastAsia="fr-BE"/>
        </w:rPr>
        <w:t>A 57-year-old man presented with a bilateral painful gynecomastia. Hormonal evaluation revealed high levels of total hCG: 2285 UI/L (0-2), hCG</w:t>
      </w:r>
      <w:r>
        <w:rPr>
          <w:lang w:val="en-US" w:eastAsia="fr-BE"/>
        </w:rPr>
        <w:t xml:space="preserve"> </w:t>
      </w:r>
      <w:r>
        <w:rPr>
          <w:lang w:val="en-US" w:eastAsia="fr-BE"/>
        </w:rPr>
        <w:sym w:font="Symbol" w:char="F062"/>
      </w:r>
      <w:r>
        <w:rPr>
          <w:lang w:val="en-US" w:eastAsia="fr-BE"/>
        </w:rPr>
        <w:t>-</w:t>
      </w:r>
      <w:r w:rsidRPr="00DF032F">
        <w:rPr>
          <w:lang w:val="en-US" w:eastAsia="fr-BE"/>
        </w:rPr>
        <w:t>subunit : 303 (0-2  mU/L), alpha subunit: 1,43 UI/l (&lt;0,8), estradiol 84 ng/ml (&lt;25)</w:t>
      </w:r>
      <w:r>
        <w:rPr>
          <w:lang w:val="en-US" w:eastAsia="fr-BE"/>
        </w:rPr>
        <w:t>, and testosterone: 10</w:t>
      </w:r>
      <w:r w:rsidRPr="00DF032F">
        <w:rPr>
          <w:lang w:val="en-US" w:eastAsia="fr-BE"/>
        </w:rPr>
        <w:t xml:space="preserve">,5 ng/ml </w:t>
      </w:r>
      <w:r>
        <w:rPr>
          <w:lang w:val="en-US" w:eastAsia="fr-BE"/>
        </w:rPr>
        <w:t>(3-10)</w:t>
      </w:r>
      <w:r w:rsidRPr="00DF032F">
        <w:rPr>
          <w:lang w:val="en-US" w:eastAsia="fr-BE"/>
        </w:rPr>
        <w:t xml:space="preserve"> and suppressed levels of luteinizing hormone and follicle-stimulating hormone. </w:t>
      </w:r>
      <w:r w:rsidRPr="00D1783E">
        <w:rPr>
          <w:lang w:val="en-GB"/>
        </w:rPr>
        <w:t>The markedly elevated serum values of beta-</w:t>
      </w:r>
      <w:r w:rsidRPr="00DF032F">
        <w:rPr>
          <w:lang w:val="en-US"/>
        </w:rPr>
        <w:t>hCG</w:t>
      </w:r>
      <w:r w:rsidRPr="00D1783E">
        <w:rPr>
          <w:lang w:val="en-GB"/>
        </w:rPr>
        <w:t xml:space="preserve"> initially prompted the medical team to investigate germinal tumors. </w:t>
      </w:r>
      <w:r w:rsidRPr="00DF032F">
        <w:rPr>
          <w:lang w:val="en-US"/>
        </w:rPr>
        <w:t>A</w:t>
      </w:r>
      <w:r>
        <w:rPr>
          <w:lang w:val="en-US"/>
        </w:rPr>
        <w:t>s</w:t>
      </w:r>
      <w:r w:rsidRPr="00D1783E">
        <w:rPr>
          <w:lang w:val="en-GB"/>
        </w:rPr>
        <w:t xml:space="preserve"> testicular ultrasound</w:t>
      </w:r>
      <w:r w:rsidRPr="00DF032F">
        <w:rPr>
          <w:lang w:val="en-US"/>
        </w:rPr>
        <w:t xml:space="preserve"> was unremarkable</w:t>
      </w:r>
      <w:r w:rsidRPr="00D1783E">
        <w:rPr>
          <w:lang w:val="en-GB"/>
        </w:rPr>
        <w:t xml:space="preserve">, an extratesticular source of </w:t>
      </w:r>
      <w:r w:rsidRPr="00DF032F">
        <w:rPr>
          <w:lang w:val="en-US"/>
        </w:rPr>
        <w:t>hCG hormonal production</w:t>
      </w:r>
      <w:r>
        <w:rPr>
          <w:lang w:val="en-US"/>
        </w:rPr>
        <w:t xml:space="preserve"> was investigated</w:t>
      </w:r>
      <w:r w:rsidRPr="00DF032F">
        <w:rPr>
          <w:lang w:val="en-US"/>
        </w:rPr>
        <w:t xml:space="preserve">. </w:t>
      </w:r>
      <w:r w:rsidRPr="00DF032F">
        <w:rPr>
          <w:lang w:val="en-US" w:eastAsia="fr-BE"/>
        </w:rPr>
        <w:t>C</w:t>
      </w:r>
      <w:r>
        <w:rPr>
          <w:lang w:val="en-US" w:eastAsia="fr-BE"/>
        </w:rPr>
        <w:t xml:space="preserve">T </w:t>
      </w:r>
      <w:r w:rsidRPr="00DF032F">
        <w:rPr>
          <w:lang w:val="en-US" w:eastAsia="fr-BE"/>
        </w:rPr>
        <w:t xml:space="preserve">scan of the chest demonstrated a 63x50 mm tumor in the upper lobe of the left lung. </w:t>
      </w:r>
      <w:r>
        <w:rPr>
          <w:lang w:val="en-US" w:eastAsia="fr-BE"/>
        </w:rPr>
        <w:t>The tumor had i</w:t>
      </w:r>
      <w:r w:rsidRPr="00DF032F">
        <w:rPr>
          <w:lang w:val="en-US" w:eastAsia="fr-BE"/>
        </w:rPr>
        <w:t>ncrease</w:t>
      </w:r>
      <w:r>
        <w:rPr>
          <w:lang w:val="en-US" w:eastAsia="fr-BE"/>
        </w:rPr>
        <w:t>d</w:t>
      </w:r>
      <w:r w:rsidRPr="00DF032F">
        <w:rPr>
          <w:lang w:val="en-US" w:eastAsia="fr-BE"/>
        </w:rPr>
        <w:t xml:space="preserve"> glucose uptake at PET scan</w:t>
      </w:r>
      <w:r>
        <w:rPr>
          <w:lang w:val="en-US" w:eastAsia="fr-BE"/>
        </w:rPr>
        <w:t xml:space="preserve"> and a homolateral </w:t>
      </w:r>
      <w:r w:rsidRPr="00DF032F">
        <w:rPr>
          <w:lang w:val="en-US" w:eastAsia="fr-BE"/>
        </w:rPr>
        <w:t xml:space="preserve">hypermetabolic adenopathy was </w:t>
      </w:r>
      <w:r>
        <w:rPr>
          <w:lang w:val="en-US" w:eastAsia="fr-BE"/>
        </w:rPr>
        <w:t>detected (T2N2MO)</w:t>
      </w:r>
      <w:r w:rsidRPr="00DF032F">
        <w:rPr>
          <w:lang w:val="en-US" w:eastAsia="fr-BE"/>
        </w:rPr>
        <w:t xml:space="preserve">. A </w:t>
      </w:r>
      <w:r>
        <w:rPr>
          <w:lang w:val="en-US" w:eastAsia="fr-BE"/>
        </w:rPr>
        <w:t>f</w:t>
      </w:r>
      <w:r w:rsidRPr="00DF032F">
        <w:rPr>
          <w:lang w:val="en-US" w:eastAsia="fr-BE"/>
        </w:rPr>
        <w:t>ibrobronchospy was undertaken</w:t>
      </w:r>
      <w:r>
        <w:rPr>
          <w:lang w:val="en-US" w:eastAsia="fr-BE"/>
        </w:rPr>
        <w:t>: multiple biopsies revealed a small cell lung carcinoma</w:t>
      </w:r>
      <w:r w:rsidRPr="00DF032F">
        <w:rPr>
          <w:lang w:val="en-US" w:eastAsia="fr-BE"/>
        </w:rPr>
        <w:t xml:space="preserve">. The patient underwent chemotherapy   and external radiotherapy   of the left upper  lobe of the lung. After treatment, the levels of </w:t>
      </w:r>
      <w:r>
        <w:rPr>
          <w:lang w:val="en-US" w:eastAsia="fr-BE"/>
        </w:rPr>
        <w:t>total and free ß</w:t>
      </w:r>
      <w:r w:rsidRPr="00DF032F">
        <w:rPr>
          <w:lang w:val="en-US" w:eastAsia="fr-BE"/>
        </w:rPr>
        <w:t xml:space="preserve"> hCG, alpha subunit and estradiol rapidly decreased whereas gonadotropin levels and testosterone normalized. The gynecomastia resolved completely within 3 months. After three years of follow up, the patient remains with  clinical, biochemical (hCG and alpha subunit levels) and PET scan criteria of cancer remission</w:t>
      </w:r>
      <w:r>
        <w:rPr>
          <w:lang w:val="en-US" w:eastAsia="fr-BE"/>
        </w:rPr>
        <w:t>.</w:t>
      </w:r>
    </w:p>
    <w:p w:rsidR="00FE52BD" w:rsidRPr="00DF032F" w:rsidRDefault="00FE52BD" w:rsidP="00DF032F">
      <w:pPr>
        <w:spacing w:line="360" w:lineRule="auto"/>
        <w:jc w:val="both"/>
        <w:rPr>
          <w:lang w:val="en-US"/>
        </w:rPr>
      </w:pPr>
      <w:r w:rsidRPr="00DF032F">
        <w:rPr>
          <w:lang w:val="en-US"/>
        </w:rPr>
        <w:t>DISCUSSION</w:t>
      </w:r>
    </w:p>
    <w:p w:rsidR="00FE52BD" w:rsidRPr="00DF032F" w:rsidRDefault="00FE52BD" w:rsidP="00DF032F">
      <w:pPr>
        <w:spacing w:line="360" w:lineRule="auto"/>
        <w:jc w:val="both"/>
        <w:rPr>
          <w:lang w:val="en-US"/>
        </w:rPr>
      </w:pPr>
    </w:p>
    <w:p w:rsidR="00FE52BD" w:rsidRPr="00D1783E" w:rsidRDefault="00FE52BD" w:rsidP="00D1783E">
      <w:pPr>
        <w:shd w:val="clear" w:color="auto" w:fill="FFFFFF"/>
        <w:spacing w:before="100" w:beforeAutospacing="1" w:after="100" w:afterAutospacing="1" w:line="360" w:lineRule="auto"/>
        <w:jc w:val="both"/>
        <w:rPr>
          <w:lang w:val="en-US" w:eastAsia="fr-BE"/>
        </w:rPr>
      </w:pPr>
      <w:r w:rsidRPr="00DF032F">
        <w:rPr>
          <w:rStyle w:val="entity"/>
          <w:lang w:val="en-GB"/>
        </w:rPr>
        <w:t>β</w:t>
      </w:r>
      <w:r w:rsidRPr="00DF032F">
        <w:rPr>
          <w:lang w:val="en-GB"/>
        </w:rPr>
        <w:t>-human chorionic gonadotropin (</w:t>
      </w:r>
      <w:r w:rsidRPr="00DF032F">
        <w:rPr>
          <w:rStyle w:val="entity"/>
          <w:lang w:val="en-GB"/>
        </w:rPr>
        <w:t>β</w:t>
      </w:r>
      <w:r w:rsidRPr="00DF032F">
        <w:rPr>
          <w:lang w:val="en-GB"/>
        </w:rPr>
        <w:t xml:space="preserve">-hCG) is commonly produced by germ cell tumors. It has also been noted in gastric, ovarian, liver, and lung cancers. Despite this, lung cancer with </w:t>
      </w:r>
      <w:r w:rsidRPr="00DF032F">
        <w:rPr>
          <w:rStyle w:val="entity"/>
          <w:lang w:val="en-GB"/>
        </w:rPr>
        <w:t>β</w:t>
      </w:r>
      <w:r w:rsidRPr="00DF032F">
        <w:rPr>
          <w:lang w:val="en-GB"/>
        </w:rPr>
        <w:t xml:space="preserve">-hCG production is rare, and only a few case reports have been published in the literature. </w:t>
      </w:r>
      <w:r>
        <w:rPr>
          <w:lang w:val="en-GB"/>
        </w:rPr>
        <w:t>Some studies indicate</w:t>
      </w:r>
      <w:r w:rsidRPr="00DF032F">
        <w:rPr>
          <w:lang w:val="en-GB"/>
        </w:rPr>
        <w:t xml:space="preserve"> that hCG acts as a</w:t>
      </w:r>
      <w:r>
        <w:rPr>
          <w:lang w:val="en-GB"/>
        </w:rPr>
        <w:t>n</w:t>
      </w:r>
      <w:r w:rsidRPr="00DF032F">
        <w:rPr>
          <w:lang w:val="en-GB"/>
        </w:rPr>
        <w:t xml:space="preserve"> autocrine/ paracrine growth factor by inhibiting apoptosis. </w:t>
      </w:r>
      <w:r w:rsidRPr="00D1783E">
        <w:rPr>
          <w:lang w:val="en-GB"/>
        </w:rPr>
        <w:t>Thus</w:t>
      </w:r>
      <w:r w:rsidRPr="007801B0">
        <w:rPr>
          <w:lang w:val="en-US"/>
        </w:rPr>
        <w:t>,</w:t>
      </w:r>
      <w:r w:rsidRPr="00D1783E">
        <w:rPr>
          <w:lang w:val="en-GB"/>
        </w:rPr>
        <w:t xml:space="preserve"> </w:t>
      </w:r>
      <w:r>
        <w:sym w:font="Symbol" w:char="F062"/>
      </w:r>
      <w:r w:rsidRPr="007801B0">
        <w:rPr>
          <w:lang w:val="en-US"/>
        </w:rPr>
        <w:t>h</w:t>
      </w:r>
      <w:r w:rsidRPr="00D1783E">
        <w:rPr>
          <w:rStyle w:val="highlight"/>
          <w:lang w:val="en-GB"/>
        </w:rPr>
        <w:t>CG</w:t>
      </w:r>
      <w:r w:rsidRPr="00D1783E">
        <w:rPr>
          <w:lang w:val="en-GB"/>
        </w:rPr>
        <w:t xml:space="preserve"> elevation in SCLC seems to be a marker of more resistant tumours and of poor prognosis</w:t>
      </w:r>
      <w:r w:rsidRPr="00DF032F">
        <w:rPr>
          <w:lang w:val="en-US"/>
        </w:rPr>
        <w:t xml:space="preserve">. </w:t>
      </w:r>
      <w:r w:rsidRPr="00DF032F">
        <w:rPr>
          <w:lang w:val="en-GB"/>
        </w:rPr>
        <w:t xml:space="preserve">Moreover, paraneoplastic gynecomastia depends on the estrogen/testosterone imbalance induced by </w:t>
      </w:r>
      <w:r>
        <w:rPr>
          <w:lang w:val="en-GB"/>
        </w:rPr>
        <w:t xml:space="preserve">elevated </w:t>
      </w:r>
      <w:r w:rsidRPr="00DF032F">
        <w:rPr>
          <w:lang w:val="en-GB"/>
        </w:rPr>
        <w:t xml:space="preserve">total hCG. </w:t>
      </w:r>
      <w:r w:rsidRPr="00DF032F">
        <w:rPr>
          <w:lang w:val="en-US" w:eastAsia="fr-BE"/>
        </w:rPr>
        <w:t xml:space="preserve">This case exemplifies that hormonal </w:t>
      </w:r>
      <w:r>
        <w:rPr>
          <w:lang w:val="en-US" w:eastAsia="fr-BE"/>
        </w:rPr>
        <w:t xml:space="preserve">work-up should be done in an adult </w:t>
      </w:r>
      <w:r w:rsidRPr="00DF032F">
        <w:rPr>
          <w:lang w:val="en-US" w:eastAsia="fr-BE"/>
        </w:rPr>
        <w:t xml:space="preserve">patient presenting with recent onset of painful gynecomastia. </w:t>
      </w:r>
      <w:r>
        <w:rPr>
          <w:lang w:val="en-US" w:eastAsia="fr-BE"/>
        </w:rPr>
        <w:t>Although rare, n</w:t>
      </w:r>
      <w:r w:rsidRPr="00DF032F">
        <w:rPr>
          <w:lang w:val="en-US" w:eastAsia="fr-BE"/>
        </w:rPr>
        <w:t xml:space="preserve">on germinal tumors such as lung cancer should </w:t>
      </w:r>
      <w:r>
        <w:rPr>
          <w:lang w:val="en-US" w:eastAsia="fr-BE"/>
        </w:rPr>
        <w:t xml:space="preserve">also </w:t>
      </w:r>
      <w:r w:rsidRPr="00DF032F">
        <w:rPr>
          <w:lang w:val="en-US" w:eastAsia="fr-BE"/>
        </w:rPr>
        <w:t>be considered in the differential diagnosis of gynecomastia attributable to ectopic production of hCG</w:t>
      </w:r>
      <w:r>
        <w:rPr>
          <w:lang w:val="en-US" w:eastAsia="fr-BE"/>
        </w:rPr>
        <w:t xml:space="preserve">, </w:t>
      </w:r>
      <w:r w:rsidRPr="00DF032F">
        <w:rPr>
          <w:lang w:val="en-US" w:eastAsia="fr-BE"/>
        </w:rPr>
        <w:t>free</w:t>
      </w:r>
      <w:r>
        <w:rPr>
          <w:lang w:val="en-US" w:eastAsia="fr-BE"/>
        </w:rPr>
        <w:t xml:space="preserve"> </w:t>
      </w:r>
      <w:r>
        <w:sym w:font="Symbol" w:char="F062"/>
      </w:r>
      <w:r w:rsidRPr="007801B0">
        <w:rPr>
          <w:lang w:val="en-US"/>
        </w:rPr>
        <w:t>h</w:t>
      </w:r>
      <w:r w:rsidRPr="00D1783E">
        <w:rPr>
          <w:rStyle w:val="highlight"/>
          <w:lang w:val="en-GB"/>
        </w:rPr>
        <w:t>CG</w:t>
      </w:r>
      <w:r w:rsidRPr="00DF032F">
        <w:rPr>
          <w:lang w:val="en-US" w:eastAsia="fr-BE"/>
        </w:rPr>
        <w:t xml:space="preserve">  and alpha subunits</w:t>
      </w:r>
      <w:r>
        <w:rPr>
          <w:lang w:val="en-US" w:eastAsia="fr-BE"/>
        </w:rPr>
        <w:t>.</w:t>
      </w:r>
    </w:p>
    <w:p w:rsidR="00FE52BD" w:rsidRDefault="00FE52BD">
      <w:pPr>
        <w:rPr>
          <w:lang w:val="en-US"/>
        </w:rPr>
      </w:pPr>
    </w:p>
    <w:p w:rsidR="00FE52BD" w:rsidRDefault="00FE52BD" w:rsidP="00A27BBC">
      <w:pPr>
        <w:numPr>
          <w:ilvl w:val="0"/>
          <w:numId w:val="1"/>
        </w:numPr>
        <w:shd w:val="clear" w:color="auto" w:fill="FBFBFB"/>
        <w:ind w:left="480" w:right="480"/>
        <w:rPr>
          <w:rFonts w:ascii="Verdana" w:hAnsi="Verdana"/>
          <w:color w:val="000000"/>
          <w:sz w:val="17"/>
          <w:szCs w:val="17"/>
          <w:lang w:val="en-GB"/>
        </w:rPr>
      </w:pPr>
      <w:bookmarkStart w:id="0" w:name="B8"/>
      <w:bookmarkEnd w:id="0"/>
      <w:r>
        <w:rPr>
          <w:rFonts w:ascii="Verdana" w:hAnsi="Verdana"/>
          <w:color w:val="000000"/>
          <w:sz w:val="17"/>
          <w:szCs w:val="17"/>
          <w:lang w:val="en-GB"/>
        </w:rPr>
        <w:t xml:space="preserve">Szturmowicz M, Wiatr E, Sakowicz A, Slodkowska J, Roszkowski K, Filipecki S, Rowinska-Zakrzewska ER: </w:t>
      </w:r>
      <w:r>
        <w:rPr>
          <w:rStyle w:val="Strong"/>
          <w:rFonts w:ascii="Verdana" w:hAnsi="Verdana"/>
          <w:color w:val="000000"/>
          <w:sz w:val="17"/>
          <w:szCs w:val="17"/>
          <w:lang w:val="en-GB"/>
        </w:rPr>
        <w:t xml:space="preserve">The role of human chorionic gonadotropin beta subunit elevation in small-cell lung cancer patients. </w:t>
      </w:r>
    </w:p>
    <w:p w:rsidR="00FE52BD" w:rsidRDefault="00FE52BD" w:rsidP="00A27BBC">
      <w:pPr>
        <w:shd w:val="clear" w:color="auto" w:fill="FBFBFB"/>
        <w:ind w:left="480" w:right="480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Style w:val="Emphasis"/>
          <w:rFonts w:ascii="Verdana" w:hAnsi="Verdana"/>
          <w:color w:val="000000"/>
          <w:sz w:val="17"/>
          <w:szCs w:val="17"/>
          <w:lang w:val="en-GB"/>
        </w:rPr>
        <w:t>J Cancer Res Clin Oncol</w:t>
      </w:r>
      <w:r>
        <w:rPr>
          <w:rFonts w:ascii="Verdana" w:hAnsi="Verdana"/>
          <w:color w:val="000000"/>
          <w:sz w:val="17"/>
          <w:szCs w:val="17"/>
          <w:lang w:val="en-GB"/>
        </w:rPr>
        <w:t xml:space="preserve"> 1995, </w:t>
      </w:r>
      <w:r>
        <w:rPr>
          <w:rStyle w:val="Strong"/>
          <w:rFonts w:ascii="Verdana" w:hAnsi="Verdana"/>
          <w:color w:val="000000"/>
          <w:sz w:val="17"/>
          <w:szCs w:val="17"/>
          <w:lang w:val="en-GB"/>
        </w:rPr>
        <w:t>121:</w:t>
      </w:r>
      <w:r>
        <w:rPr>
          <w:rFonts w:ascii="Verdana" w:hAnsi="Verdana"/>
          <w:color w:val="000000"/>
          <w:sz w:val="17"/>
          <w:szCs w:val="17"/>
          <w:lang w:val="en-GB"/>
        </w:rPr>
        <w:t xml:space="preserve">309-312. </w:t>
      </w:r>
      <w:hyperlink r:id="rId5" w:tgtFrame="_blank" w:history="1">
        <w:r>
          <w:rPr>
            <w:rFonts w:ascii="Verdana" w:hAnsi="Verdana"/>
            <w:color w:val="2149A0"/>
            <w:sz w:val="17"/>
            <w:szCs w:val="17"/>
            <w:u w:val="single"/>
            <w:lang w:val="en-GB"/>
          </w:rPr>
          <w:t>PubMed Abstract</w:t>
        </w:r>
      </w:hyperlink>
      <w:r>
        <w:rPr>
          <w:rFonts w:ascii="Verdana" w:hAnsi="Verdana"/>
          <w:color w:val="000000"/>
          <w:sz w:val="17"/>
          <w:szCs w:val="17"/>
          <w:lang w:val="en-GB"/>
        </w:rPr>
        <w:t xml:space="preserve"> | </w:t>
      </w:r>
      <w:hyperlink r:id="rId6" w:tgtFrame="_blank" w:history="1">
        <w:r>
          <w:rPr>
            <w:rFonts w:ascii="Verdana" w:hAnsi="Verdana"/>
            <w:color w:val="2149A0"/>
            <w:sz w:val="17"/>
            <w:szCs w:val="17"/>
            <w:u w:val="single"/>
            <w:lang w:val="en-GB"/>
          </w:rPr>
          <w:t>Publisher Full Text</w:t>
        </w:r>
      </w:hyperlink>
      <w:r>
        <w:rPr>
          <w:rFonts w:ascii="Verdana" w:hAnsi="Verdana"/>
          <w:color w:val="000000"/>
          <w:sz w:val="17"/>
          <w:szCs w:val="17"/>
          <w:lang w:val="en-GB"/>
        </w:rPr>
        <w:t xml:space="preserve"> </w:t>
      </w:r>
      <w:hyperlink r:id="rId7" w:history="1">
        <w:r w:rsidRPr="00A75B14">
          <w:rPr>
            <w:rFonts w:ascii="Verdana" w:hAnsi="Verdana"/>
            <w:noProof/>
            <w:color w:val="2149A0"/>
            <w:sz w:val="17"/>
            <w:szCs w:val="17"/>
            <w:lang w:val="fr-BE" w:eastAsia="fr-BE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" o:spid="_x0000_i1025" type="#_x0000_t75" alt="OpenURL" href="http://www.jmedicalcasereports.com/sfx_links?ui=1752-1947-5-19&amp;bibl=" style="width:.75pt;height:.75pt;visibility:visible" o:button="t">
              <v:fill o:detectmouseclick="t"/>
              <v:imagedata r:id="rId8" o:title=""/>
            </v:shape>
          </w:pict>
        </w:r>
      </w:hyperlink>
    </w:p>
    <w:p w:rsidR="00FE52BD" w:rsidRDefault="00FE52BD" w:rsidP="00A27BBC">
      <w:pPr>
        <w:pStyle w:val="totext1"/>
        <w:shd w:val="clear" w:color="auto" w:fill="FBFBFB"/>
        <w:ind w:left="480" w:right="480"/>
        <w:rPr>
          <w:rFonts w:ascii="Verdana" w:hAnsi="Verdana"/>
          <w:color w:val="000000"/>
          <w:sz w:val="17"/>
          <w:szCs w:val="17"/>
          <w:lang w:val="en-GB"/>
        </w:rPr>
      </w:pPr>
      <w:hyperlink r:id="rId9" w:history="1">
        <w:r>
          <w:rPr>
            <w:rFonts w:ascii="Verdana" w:hAnsi="Verdana"/>
            <w:color w:val="2149A0"/>
            <w:sz w:val="17"/>
            <w:szCs w:val="17"/>
            <w:u w:val="single"/>
            <w:lang w:val="en-GB"/>
          </w:rPr>
          <w:t>Return to text</w:t>
        </w:r>
      </w:hyperlink>
    </w:p>
    <w:p w:rsidR="00FE52BD" w:rsidRDefault="00FE52BD" w:rsidP="00A27BBC">
      <w:pPr>
        <w:numPr>
          <w:ilvl w:val="0"/>
          <w:numId w:val="1"/>
        </w:numPr>
        <w:shd w:val="clear" w:color="auto" w:fill="FBFBFB"/>
        <w:ind w:left="480" w:right="480"/>
        <w:rPr>
          <w:rFonts w:ascii="Verdana" w:hAnsi="Verdana"/>
          <w:color w:val="000000"/>
          <w:sz w:val="17"/>
          <w:szCs w:val="17"/>
          <w:lang w:val="en-GB"/>
        </w:rPr>
      </w:pPr>
      <w:bookmarkStart w:id="1" w:name="B9"/>
      <w:bookmarkEnd w:id="1"/>
      <w:r>
        <w:rPr>
          <w:rFonts w:ascii="Verdana" w:hAnsi="Verdana"/>
          <w:color w:val="000000"/>
          <w:sz w:val="17"/>
          <w:szCs w:val="17"/>
          <w:lang w:val="en-GB"/>
        </w:rPr>
        <w:t xml:space="preserve">Szturmowicz M, Slodkowska J, Zych J, Rudzinski P, Sakowicz A, Rowinska-Zakrzewska E: </w:t>
      </w:r>
      <w:r>
        <w:rPr>
          <w:rStyle w:val="Strong"/>
          <w:rFonts w:ascii="Verdana" w:hAnsi="Verdana"/>
          <w:color w:val="000000"/>
          <w:sz w:val="17"/>
          <w:szCs w:val="17"/>
          <w:lang w:val="en-GB"/>
        </w:rPr>
        <w:t xml:space="preserve">Frequency and clinical significance of </w:t>
      </w:r>
      <w:r>
        <w:rPr>
          <w:rStyle w:val="entity"/>
          <w:rFonts w:ascii="Verdana" w:hAnsi="Verdana"/>
          <w:b/>
          <w:bCs/>
          <w:color w:val="000000"/>
          <w:sz w:val="17"/>
          <w:szCs w:val="17"/>
          <w:lang w:val="en-GB"/>
        </w:rPr>
        <w:t>β</w:t>
      </w:r>
      <w:r>
        <w:rPr>
          <w:rStyle w:val="Strong"/>
          <w:rFonts w:ascii="Verdana" w:hAnsi="Verdana"/>
          <w:color w:val="000000"/>
          <w:sz w:val="17"/>
          <w:szCs w:val="17"/>
          <w:lang w:val="en-GB"/>
        </w:rPr>
        <w:t xml:space="preserve">-subunit human chorionic gonadotropin expression in non-small cell lung cancer patients. </w:t>
      </w:r>
    </w:p>
    <w:p w:rsidR="00FE52BD" w:rsidRDefault="00FE52BD" w:rsidP="00A27BBC">
      <w:pPr>
        <w:shd w:val="clear" w:color="auto" w:fill="FBFBFB"/>
        <w:ind w:left="480" w:right="480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Style w:val="Emphasis"/>
          <w:rFonts w:ascii="Verdana" w:hAnsi="Verdana"/>
          <w:color w:val="000000"/>
          <w:sz w:val="17"/>
          <w:szCs w:val="17"/>
          <w:lang w:val="en-GB"/>
        </w:rPr>
        <w:t>Tumor Biol</w:t>
      </w:r>
      <w:r>
        <w:rPr>
          <w:rFonts w:ascii="Verdana" w:hAnsi="Verdana"/>
          <w:color w:val="000000"/>
          <w:sz w:val="17"/>
          <w:szCs w:val="17"/>
          <w:lang w:val="en-GB"/>
        </w:rPr>
        <w:t xml:space="preserve"> 1999, </w:t>
      </w:r>
      <w:r>
        <w:rPr>
          <w:rStyle w:val="Strong"/>
          <w:rFonts w:ascii="Verdana" w:hAnsi="Verdana"/>
          <w:color w:val="000000"/>
          <w:sz w:val="17"/>
          <w:szCs w:val="17"/>
          <w:lang w:val="en-GB"/>
        </w:rPr>
        <w:t>20:</w:t>
      </w:r>
      <w:r>
        <w:rPr>
          <w:rFonts w:ascii="Verdana" w:hAnsi="Verdana"/>
          <w:color w:val="000000"/>
          <w:sz w:val="17"/>
          <w:szCs w:val="17"/>
          <w:lang w:val="en-GB"/>
        </w:rPr>
        <w:t xml:space="preserve">99-104. </w:t>
      </w:r>
      <w:hyperlink r:id="rId10" w:tgtFrame="_blank" w:history="1">
        <w:r>
          <w:rPr>
            <w:rFonts w:ascii="Verdana" w:hAnsi="Verdana"/>
            <w:color w:val="2149A0"/>
            <w:sz w:val="17"/>
            <w:szCs w:val="17"/>
            <w:u w:val="single"/>
            <w:lang w:val="en-GB"/>
          </w:rPr>
          <w:t>Publisher Full Text</w:t>
        </w:r>
      </w:hyperlink>
      <w:r>
        <w:rPr>
          <w:rFonts w:ascii="Verdana" w:hAnsi="Verdana"/>
          <w:color w:val="000000"/>
          <w:sz w:val="17"/>
          <w:szCs w:val="17"/>
          <w:lang w:val="en-GB"/>
        </w:rPr>
        <w:t xml:space="preserve"> </w:t>
      </w:r>
      <w:hyperlink r:id="rId11" w:history="1">
        <w:r w:rsidRPr="00A75B14">
          <w:rPr>
            <w:rFonts w:ascii="Verdana" w:hAnsi="Verdana"/>
            <w:noProof/>
            <w:color w:val="2149A0"/>
            <w:sz w:val="17"/>
            <w:szCs w:val="17"/>
            <w:lang w:val="fr-BE" w:eastAsia="fr-BE"/>
          </w:rPr>
          <w:pict>
            <v:shape id="Image 3" o:spid="_x0000_i1026" type="#_x0000_t75" alt="OpenURL" href="http://www.jmedicalcasereports.com/sfx_links?ui=1752-1947-5-19&amp;bibl=" style="width:.75pt;height:.75pt;visibility:visible" o:button="t">
              <v:fill o:detectmouseclick="t"/>
              <v:imagedata r:id="rId8" o:title=""/>
            </v:shape>
          </w:pict>
        </w:r>
      </w:hyperlink>
    </w:p>
    <w:p w:rsidR="00FE52BD" w:rsidRPr="00A27BBC" w:rsidRDefault="00FE52BD">
      <w:pPr>
        <w:rPr>
          <w:lang w:val="en-GB"/>
        </w:rPr>
      </w:pPr>
    </w:p>
    <w:sectPr w:rsidR="00FE52BD" w:rsidRPr="00A27BBC" w:rsidSect="00F10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90A64"/>
    <w:multiLevelType w:val="multilevel"/>
    <w:tmpl w:val="FF34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A30"/>
    <w:rsid w:val="000425C9"/>
    <w:rsid w:val="00085F41"/>
    <w:rsid w:val="00097AC0"/>
    <w:rsid w:val="000C3FFA"/>
    <w:rsid w:val="001255EB"/>
    <w:rsid w:val="0018733F"/>
    <w:rsid w:val="001B5E89"/>
    <w:rsid w:val="00342155"/>
    <w:rsid w:val="003A65E7"/>
    <w:rsid w:val="003D7074"/>
    <w:rsid w:val="0041411B"/>
    <w:rsid w:val="00442A30"/>
    <w:rsid w:val="00492E77"/>
    <w:rsid w:val="00614831"/>
    <w:rsid w:val="006516E8"/>
    <w:rsid w:val="007801B0"/>
    <w:rsid w:val="007A715A"/>
    <w:rsid w:val="008E68CE"/>
    <w:rsid w:val="009068B9"/>
    <w:rsid w:val="0091068C"/>
    <w:rsid w:val="009C1AE8"/>
    <w:rsid w:val="00A131C5"/>
    <w:rsid w:val="00A22836"/>
    <w:rsid w:val="00A27BBC"/>
    <w:rsid w:val="00A75B14"/>
    <w:rsid w:val="00C13939"/>
    <w:rsid w:val="00CC450E"/>
    <w:rsid w:val="00CC6FAC"/>
    <w:rsid w:val="00CF0726"/>
    <w:rsid w:val="00CF21FF"/>
    <w:rsid w:val="00D1118C"/>
    <w:rsid w:val="00D1783E"/>
    <w:rsid w:val="00DF032F"/>
    <w:rsid w:val="00E327BC"/>
    <w:rsid w:val="00F1082C"/>
    <w:rsid w:val="00F7133C"/>
    <w:rsid w:val="00FD6DE7"/>
    <w:rsid w:val="00FE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30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5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25C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link w:val="Heading4Char"/>
    <w:uiPriority w:val="99"/>
    <w:qFormat/>
    <w:rsid w:val="00A22836"/>
    <w:pPr>
      <w:spacing w:before="100" w:beforeAutospacing="1" w:after="100" w:afterAutospacing="1"/>
      <w:outlineLvl w:val="3"/>
    </w:pPr>
    <w:rPr>
      <w:b/>
      <w:bCs/>
      <w:sz w:val="29"/>
      <w:szCs w:val="29"/>
      <w:lang w:val="fr-BE" w:eastAsia="fr-B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25C9"/>
    <w:rPr>
      <w:rFonts w:ascii="Cambria" w:hAnsi="Cambria" w:cs="Times New Roman"/>
      <w:b/>
      <w:bCs/>
      <w:color w:val="365F91"/>
      <w:sz w:val="28"/>
      <w:szCs w:val="28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25C9"/>
    <w:rPr>
      <w:rFonts w:ascii="Cambria" w:hAnsi="Cambria" w:cs="Times New Roman"/>
      <w:b/>
      <w:bCs/>
      <w:color w:val="4F81BD"/>
      <w:sz w:val="24"/>
      <w:szCs w:val="24"/>
      <w:lang w:val="el-GR" w:eastAsia="el-G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22836"/>
    <w:rPr>
      <w:rFonts w:ascii="Times New Roman" w:hAnsi="Times New Roman" w:cs="Times New Roman"/>
      <w:b/>
      <w:bCs/>
      <w:sz w:val="29"/>
      <w:szCs w:val="29"/>
      <w:lang w:eastAsia="fr-BE"/>
    </w:rPr>
  </w:style>
  <w:style w:type="paragraph" w:styleId="NormalWeb">
    <w:name w:val="Normal (Web)"/>
    <w:basedOn w:val="Normal"/>
    <w:uiPriority w:val="99"/>
    <w:semiHidden/>
    <w:rsid w:val="00A22836"/>
    <w:pPr>
      <w:spacing w:before="100" w:beforeAutospacing="1" w:after="100" w:afterAutospacing="1"/>
    </w:pPr>
    <w:rPr>
      <w:lang w:val="fr-BE" w:eastAsia="fr-BE"/>
    </w:rPr>
  </w:style>
  <w:style w:type="character" w:customStyle="1" w:styleId="highlight">
    <w:name w:val="highlight"/>
    <w:basedOn w:val="DefaultParagraphFont"/>
    <w:uiPriority w:val="99"/>
    <w:rsid w:val="00A2283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425C9"/>
    <w:rPr>
      <w:rFonts w:cs="Times New Roman"/>
      <w:color w:val="0000FF"/>
      <w:u w:val="single"/>
    </w:rPr>
  </w:style>
  <w:style w:type="character" w:customStyle="1" w:styleId="entity">
    <w:name w:val="entity"/>
    <w:basedOn w:val="DefaultParagraphFont"/>
    <w:uiPriority w:val="99"/>
    <w:rsid w:val="00A27BB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27BBC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A27BBC"/>
    <w:rPr>
      <w:rFonts w:cs="Times New Roman"/>
      <w:b/>
      <w:bCs/>
    </w:rPr>
  </w:style>
  <w:style w:type="paragraph" w:customStyle="1" w:styleId="totext1">
    <w:name w:val="totext1"/>
    <w:basedOn w:val="Normal"/>
    <w:uiPriority w:val="99"/>
    <w:rsid w:val="00A27BBC"/>
    <w:rPr>
      <w:vanish/>
      <w:lang w:val="fr-BE" w:eastAsia="fr-BE"/>
    </w:rPr>
  </w:style>
  <w:style w:type="paragraph" w:styleId="BalloonText">
    <w:name w:val="Balloon Text"/>
    <w:basedOn w:val="Normal"/>
    <w:link w:val="BalloonTextChar"/>
    <w:uiPriority w:val="99"/>
    <w:semiHidden/>
    <w:rsid w:val="00A27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7BBC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84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048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048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04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4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4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4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84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479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0498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84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04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0480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04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medicalcasereports.com/sfx_links?ui=1752-1947-5-19&amp;bibl=B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07/BF01209599" TargetMode="External"/><Relationship Id="rId11" Type="http://schemas.openxmlformats.org/officeDocument/2006/relationships/hyperlink" Target="http://www.jmedicalcasereports.com/sfx_links?ui=1752-1947-5-19&amp;bibl=B9" TargetMode="External"/><Relationship Id="rId5" Type="http://schemas.openxmlformats.org/officeDocument/2006/relationships/hyperlink" Target="http://www.jmedicalcasereports.com/pubmed/7539432" TargetMode="External"/><Relationship Id="rId10" Type="http://schemas.openxmlformats.org/officeDocument/2006/relationships/hyperlink" Target="http://dx.doi.org/10.1159/000030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returnToText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607</Words>
  <Characters>3342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Paraneoplastic gynecomastia revealing a mixed hCG, free hCG and </dc:title>
  <dc:subject/>
  <dc:creator>hernan</dc:creator>
  <cp:keywords/>
  <dc:description/>
  <cp:lastModifiedBy>endo</cp:lastModifiedBy>
  <cp:revision>2</cp:revision>
  <dcterms:created xsi:type="dcterms:W3CDTF">2011-10-26T09:11:00Z</dcterms:created>
  <dcterms:modified xsi:type="dcterms:W3CDTF">2011-10-26T09:11:00Z</dcterms:modified>
</cp:coreProperties>
</file>